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276EEF">
      <w:pPr>
        <w:pStyle w:val="21"/>
        <w:spacing w:line="360" w:lineRule="auto"/>
        <w:ind w:firstLine="420" w:firstLineChars="0"/>
        <w:jc w:val="center"/>
        <w:rPr>
          <w:rFonts w:hint="eastAsia" w:ascii="宋体" w:hAnsi="宋体" w:eastAsia="宋体" w:cs="宋体"/>
          <w:b/>
          <w:bCs/>
          <w:color w:val="auto"/>
          <w:sz w:val="48"/>
          <w:szCs w:val="48"/>
          <w:highlight w:val="none"/>
          <w:lang w:eastAsia="zh-CN"/>
        </w:rPr>
      </w:pPr>
      <w:bookmarkStart w:id="361" w:name="_GoBack"/>
      <w:bookmarkEnd w:id="361"/>
      <w:r>
        <w:rPr>
          <w:rFonts w:hint="eastAsia" w:ascii="宋体" w:hAnsi="宋体" w:eastAsia="宋体" w:cs="宋体"/>
          <w:b/>
          <w:bCs/>
          <w:color w:val="auto"/>
          <w:sz w:val="48"/>
          <w:szCs w:val="48"/>
          <w:highlight w:val="none"/>
          <w:lang w:eastAsia="zh-CN"/>
        </w:rPr>
        <w:t>玉溪职业技术学院（云南省玉溪工业财贸学校）改善办学条件采购项目</w:t>
      </w:r>
    </w:p>
    <w:p w14:paraId="25D78996">
      <w:pPr>
        <w:pStyle w:val="21"/>
        <w:spacing w:line="360" w:lineRule="auto"/>
        <w:rPr>
          <w:rFonts w:hint="eastAsia" w:ascii="宋体" w:hAnsi="宋体" w:eastAsia="宋体" w:cs="宋体"/>
          <w:b/>
          <w:bCs/>
          <w:color w:val="auto"/>
          <w:sz w:val="32"/>
          <w:szCs w:val="32"/>
          <w:highlight w:val="none"/>
        </w:rPr>
      </w:pPr>
    </w:p>
    <w:p w14:paraId="58C61343">
      <w:pPr>
        <w:pStyle w:val="21"/>
        <w:spacing w:line="360" w:lineRule="auto"/>
        <w:jc w:val="center"/>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rPr>
        <w:t>项目编号：WTZB-202</w:t>
      </w:r>
      <w:r>
        <w:rPr>
          <w:rFonts w:hint="eastAsia" w:ascii="宋体" w:hAnsi="宋体" w:eastAsia="宋体" w:cs="宋体"/>
          <w:b/>
          <w:bCs/>
          <w:color w:val="auto"/>
          <w:sz w:val="32"/>
          <w:szCs w:val="32"/>
          <w:highlight w:val="none"/>
          <w:lang w:val="en-US" w:eastAsia="zh-CN"/>
        </w:rPr>
        <w:t>605</w:t>
      </w:r>
      <w:r>
        <w:rPr>
          <w:rFonts w:hint="eastAsia" w:ascii="宋体" w:hAnsi="宋体" w:eastAsia="宋体" w:cs="宋体"/>
          <w:b/>
          <w:bCs/>
          <w:color w:val="auto"/>
          <w:sz w:val="32"/>
          <w:szCs w:val="32"/>
          <w:highlight w:val="none"/>
        </w:rPr>
        <w:t>-00</w:t>
      </w:r>
      <w:r>
        <w:rPr>
          <w:rFonts w:hint="eastAsia" w:ascii="宋体" w:hAnsi="宋体" w:eastAsia="宋体" w:cs="宋体"/>
          <w:b/>
          <w:bCs/>
          <w:color w:val="auto"/>
          <w:sz w:val="32"/>
          <w:szCs w:val="32"/>
          <w:highlight w:val="none"/>
          <w:lang w:val="en-US" w:eastAsia="zh-CN"/>
        </w:rPr>
        <w:t>1</w:t>
      </w:r>
    </w:p>
    <w:p w14:paraId="41DDCE07">
      <w:pPr>
        <w:pStyle w:val="21"/>
        <w:spacing w:line="360" w:lineRule="auto"/>
        <w:jc w:val="center"/>
        <w:rPr>
          <w:rFonts w:hint="eastAsia" w:ascii="宋体" w:hAnsi="宋体" w:eastAsia="宋体" w:cs="宋体"/>
          <w:b/>
          <w:color w:val="auto"/>
          <w:sz w:val="32"/>
          <w:szCs w:val="32"/>
          <w:highlight w:val="none"/>
          <w:lang w:val="en-US" w:eastAsia="zh-CN"/>
        </w:rPr>
      </w:pPr>
      <w:r>
        <w:rPr>
          <w:rFonts w:hint="eastAsia" w:ascii="宋体" w:hAnsi="宋体" w:eastAsia="宋体" w:cs="宋体"/>
          <w:b/>
          <w:color w:val="auto"/>
          <w:sz w:val="32"/>
          <w:szCs w:val="32"/>
          <w:highlight w:val="none"/>
          <w:lang w:eastAsia="zh-CN"/>
        </w:rPr>
        <w:t>标段</w:t>
      </w:r>
      <w:r>
        <w:rPr>
          <w:rFonts w:hint="eastAsia" w:ascii="宋体" w:hAnsi="宋体" w:eastAsia="宋体" w:cs="宋体"/>
          <w:b/>
          <w:color w:val="auto"/>
          <w:sz w:val="32"/>
          <w:szCs w:val="32"/>
          <w:highlight w:val="none"/>
          <w:lang w:val="en-US" w:eastAsia="zh-CN"/>
        </w:rPr>
        <w:t>号及</w:t>
      </w:r>
      <w:r>
        <w:rPr>
          <w:rFonts w:hint="eastAsia" w:ascii="宋体" w:hAnsi="宋体" w:eastAsia="宋体" w:cs="宋体"/>
          <w:b/>
          <w:color w:val="auto"/>
          <w:sz w:val="32"/>
          <w:szCs w:val="32"/>
          <w:highlight w:val="none"/>
          <w:lang w:eastAsia="zh-CN"/>
        </w:rPr>
        <w:t>名称</w:t>
      </w:r>
      <w:r>
        <w:rPr>
          <w:rFonts w:hint="eastAsia" w:ascii="宋体" w:hAnsi="宋体" w:eastAsia="宋体" w:cs="宋体"/>
          <w:b/>
          <w:color w:val="auto"/>
          <w:sz w:val="32"/>
          <w:szCs w:val="32"/>
          <w:highlight w:val="none"/>
        </w:rPr>
        <w:t>：标段5</w:t>
      </w:r>
      <w:r>
        <w:rPr>
          <w:rFonts w:hint="eastAsia" w:ascii="宋体" w:hAnsi="宋体" w:eastAsia="宋体" w:cs="宋体"/>
          <w:b/>
          <w:color w:val="auto"/>
          <w:sz w:val="32"/>
          <w:szCs w:val="32"/>
          <w:highlight w:val="none"/>
          <w:lang w:val="en-US" w:eastAsia="zh-CN"/>
        </w:rPr>
        <w:t xml:space="preserve"> </w:t>
      </w:r>
      <w:r>
        <w:rPr>
          <w:rFonts w:hint="eastAsia" w:ascii="宋体" w:hAnsi="宋体" w:eastAsia="宋体" w:cs="宋体"/>
          <w:b/>
          <w:color w:val="auto"/>
          <w:sz w:val="32"/>
          <w:szCs w:val="32"/>
          <w:highlight w:val="none"/>
        </w:rPr>
        <w:t>马克思主义学院红色文化建设项目</w:t>
      </w:r>
    </w:p>
    <w:p w14:paraId="0928A7FE">
      <w:pPr>
        <w:pStyle w:val="21"/>
        <w:spacing w:line="360" w:lineRule="auto"/>
        <w:jc w:val="center"/>
        <w:rPr>
          <w:rFonts w:hint="eastAsia" w:ascii="宋体" w:hAnsi="宋体" w:eastAsia="宋体" w:cs="宋体"/>
          <w:b/>
          <w:color w:val="auto"/>
          <w:sz w:val="32"/>
          <w:szCs w:val="32"/>
          <w:highlight w:val="none"/>
        </w:rPr>
      </w:pPr>
    </w:p>
    <w:p w14:paraId="59634D2D">
      <w:pPr>
        <w:pStyle w:val="21"/>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84"/>
          <w:szCs w:val="84"/>
          <w:highlight w:val="none"/>
        </w:rPr>
        <w:t>招标文件</w:t>
      </w:r>
    </w:p>
    <w:p w14:paraId="27BFC1D7">
      <w:pPr>
        <w:pStyle w:val="21"/>
        <w:spacing w:line="360" w:lineRule="auto"/>
        <w:jc w:val="center"/>
        <w:rPr>
          <w:rFonts w:hint="eastAsia" w:ascii="宋体" w:hAnsi="宋体" w:eastAsia="宋体" w:cs="宋体"/>
          <w:b/>
          <w:bCs/>
          <w:color w:val="auto"/>
          <w:sz w:val="32"/>
          <w:highlight w:val="none"/>
        </w:rPr>
      </w:pPr>
      <w:r>
        <w:rPr>
          <w:rFonts w:hint="eastAsia" w:ascii="宋体" w:hAnsi="宋体" w:eastAsia="宋体" w:cs="宋体"/>
          <w:color w:val="auto"/>
          <w:highlight w:val="none"/>
        </w:rPr>
        <w:drawing>
          <wp:inline distT="0" distB="0" distL="114300" distR="114300">
            <wp:extent cx="2715895" cy="2549525"/>
            <wp:effectExtent l="0" t="0" r="8255" b="3175"/>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pic:cNvPicPr>
                  </pic:nvPicPr>
                  <pic:blipFill>
                    <a:blip r:embed="rId11"/>
                    <a:stretch>
                      <a:fillRect/>
                    </a:stretch>
                  </pic:blipFill>
                  <pic:spPr>
                    <a:xfrm>
                      <a:off x="0" y="0"/>
                      <a:ext cx="2715895" cy="2549525"/>
                    </a:xfrm>
                    <a:prstGeom prst="rect">
                      <a:avLst/>
                    </a:prstGeom>
                    <a:noFill/>
                    <a:ln>
                      <a:noFill/>
                    </a:ln>
                  </pic:spPr>
                </pic:pic>
              </a:graphicData>
            </a:graphic>
          </wp:inline>
        </w:drawing>
      </w:r>
    </w:p>
    <w:p w14:paraId="027C0B48">
      <w:pPr>
        <w:pStyle w:val="21"/>
        <w:spacing w:line="360" w:lineRule="auto"/>
        <w:jc w:val="center"/>
        <w:rPr>
          <w:rFonts w:hint="eastAsia" w:ascii="宋体" w:hAnsi="宋体" w:eastAsia="宋体" w:cs="宋体"/>
          <w:b/>
          <w:bCs/>
          <w:color w:val="auto"/>
          <w:sz w:val="32"/>
          <w:szCs w:val="32"/>
          <w:highlight w:val="none"/>
        </w:rPr>
      </w:pPr>
    </w:p>
    <w:p w14:paraId="6BC98925">
      <w:pPr>
        <w:rPr>
          <w:rFonts w:hint="eastAsia" w:ascii="宋体" w:hAnsi="宋体" w:eastAsia="宋体" w:cs="宋体"/>
          <w:color w:val="auto"/>
          <w:highlight w:val="none"/>
        </w:rPr>
      </w:pPr>
    </w:p>
    <w:p w14:paraId="2D9F2EEE">
      <w:pPr>
        <w:pStyle w:val="21"/>
        <w:spacing w:line="360" w:lineRule="auto"/>
        <w:rPr>
          <w:rFonts w:hint="eastAsia" w:ascii="宋体" w:hAnsi="宋体" w:eastAsia="宋体" w:cs="宋体"/>
          <w:b/>
          <w:bCs/>
          <w:color w:val="auto"/>
          <w:sz w:val="28"/>
          <w:szCs w:val="28"/>
          <w:highlight w:val="none"/>
        </w:rPr>
      </w:pPr>
    </w:p>
    <w:p w14:paraId="68808B69">
      <w:pPr>
        <w:pStyle w:val="21"/>
        <w:spacing w:line="360" w:lineRule="auto"/>
        <w:rPr>
          <w:rFonts w:hint="eastAsia" w:ascii="宋体" w:hAnsi="宋体" w:eastAsia="宋体" w:cs="宋体"/>
          <w:b/>
          <w:bCs/>
          <w:color w:val="auto"/>
          <w:sz w:val="28"/>
          <w:szCs w:val="28"/>
          <w:highlight w:val="none"/>
        </w:rPr>
      </w:pPr>
    </w:p>
    <w:p w14:paraId="4ED82CD0">
      <w:pPr>
        <w:pStyle w:val="21"/>
        <w:spacing w:line="360" w:lineRule="auto"/>
        <w:rPr>
          <w:rFonts w:hint="eastAsia" w:ascii="宋体" w:hAnsi="宋体" w:eastAsia="宋体" w:cs="宋体"/>
          <w:b/>
          <w:bCs/>
          <w:color w:val="auto"/>
          <w:sz w:val="28"/>
          <w:szCs w:val="28"/>
          <w:highlight w:val="none"/>
        </w:rPr>
      </w:pPr>
    </w:p>
    <w:p w14:paraId="563C04EC">
      <w:pPr>
        <w:pStyle w:val="21"/>
        <w:spacing w:line="360" w:lineRule="auto"/>
        <w:rPr>
          <w:rFonts w:hint="eastAsia" w:ascii="宋体" w:hAnsi="宋体" w:eastAsia="宋体" w:cs="宋体"/>
          <w:b/>
          <w:bCs/>
          <w:color w:val="auto"/>
          <w:sz w:val="32"/>
          <w:szCs w:val="32"/>
          <w:highlight w:val="none"/>
          <w:u w:val="single"/>
        </w:rPr>
      </w:pPr>
      <w:r>
        <w:rPr>
          <w:rFonts w:hint="eastAsia" w:ascii="宋体" w:hAnsi="宋体" w:eastAsia="宋体" w:cs="宋体"/>
          <w:b/>
          <w:bCs/>
          <w:color w:val="auto"/>
          <w:sz w:val="32"/>
          <w:szCs w:val="32"/>
          <w:highlight w:val="none"/>
        </w:rPr>
        <w:t>采  购  人：</w:t>
      </w:r>
      <w:r>
        <w:rPr>
          <w:rFonts w:hint="eastAsia" w:ascii="宋体" w:hAnsi="宋体" w:eastAsia="宋体" w:cs="宋体"/>
          <w:b/>
          <w:bCs/>
          <w:color w:val="auto"/>
          <w:sz w:val="32"/>
          <w:szCs w:val="32"/>
          <w:highlight w:val="none"/>
          <w:u w:val="single"/>
          <w:lang w:eastAsia="zh-CN"/>
        </w:rPr>
        <w:t>玉溪职业技术学院（云南省玉溪工业财贸学校）</w:t>
      </w:r>
      <w:r>
        <w:rPr>
          <w:rFonts w:hint="eastAsia" w:ascii="宋体" w:hAnsi="宋体" w:eastAsia="宋体" w:cs="宋体"/>
          <w:b/>
          <w:bCs/>
          <w:color w:val="auto"/>
          <w:kern w:val="0"/>
          <w:sz w:val="32"/>
          <w:szCs w:val="32"/>
          <w:highlight w:val="none"/>
          <w:u w:val="single"/>
        </w:rPr>
        <w:t>(盖章)</w:t>
      </w:r>
    </w:p>
    <w:p w14:paraId="5795B803">
      <w:pPr>
        <w:pStyle w:val="21"/>
        <w:spacing w:line="360" w:lineRule="auto"/>
        <w:rPr>
          <w:rFonts w:hint="eastAsia" w:ascii="宋体" w:hAnsi="宋体" w:eastAsia="宋体" w:cs="宋体"/>
          <w:b/>
          <w:bCs/>
          <w:color w:val="auto"/>
          <w:sz w:val="32"/>
          <w:szCs w:val="32"/>
          <w:highlight w:val="none"/>
          <w:u w:val="single"/>
        </w:rPr>
      </w:pPr>
      <w:r>
        <w:rPr>
          <w:rFonts w:hint="eastAsia" w:ascii="宋体" w:hAnsi="宋体" w:eastAsia="宋体" w:cs="宋体"/>
          <w:b/>
          <w:bCs/>
          <w:color w:val="auto"/>
          <w:sz w:val="32"/>
          <w:szCs w:val="32"/>
          <w:highlight w:val="none"/>
        </w:rPr>
        <w:t>采购代理机构：</w:t>
      </w:r>
      <w:r>
        <w:rPr>
          <w:rFonts w:hint="eastAsia" w:ascii="宋体" w:hAnsi="宋体" w:eastAsia="宋体" w:cs="宋体"/>
          <w:b/>
          <w:bCs/>
          <w:color w:val="auto"/>
          <w:sz w:val="32"/>
          <w:szCs w:val="32"/>
          <w:highlight w:val="none"/>
          <w:u w:val="single"/>
        </w:rPr>
        <w:t>云南梧桐建设工程管理有限公司</w:t>
      </w:r>
      <w:r>
        <w:rPr>
          <w:rFonts w:hint="eastAsia" w:ascii="宋体" w:hAnsi="宋体" w:eastAsia="宋体" w:cs="宋体"/>
          <w:b/>
          <w:bCs/>
          <w:color w:val="auto"/>
          <w:kern w:val="0"/>
          <w:sz w:val="32"/>
          <w:szCs w:val="32"/>
          <w:highlight w:val="none"/>
          <w:u w:val="single"/>
        </w:rPr>
        <w:t>(盖章)</w:t>
      </w:r>
    </w:p>
    <w:p w14:paraId="39E6205D">
      <w:pPr>
        <w:pStyle w:val="21"/>
        <w:spacing w:line="360" w:lineRule="auto"/>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日期：202</w:t>
      </w:r>
      <w:r>
        <w:rPr>
          <w:rFonts w:hint="eastAsia" w:ascii="宋体" w:hAnsi="宋体" w:eastAsia="宋体" w:cs="宋体"/>
          <w:b/>
          <w:bCs/>
          <w:color w:val="auto"/>
          <w:sz w:val="32"/>
          <w:szCs w:val="32"/>
          <w:highlight w:val="none"/>
          <w:lang w:val="en-US" w:eastAsia="zh-CN"/>
        </w:rPr>
        <w:t>6</w:t>
      </w:r>
      <w:r>
        <w:rPr>
          <w:rFonts w:hint="eastAsia" w:ascii="宋体" w:hAnsi="宋体" w:eastAsia="宋体" w:cs="宋体"/>
          <w:b/>
          <w:bCs/>
          <w:color w:val="auto"/>
          <w:sz w:val="32"/>
          <w:szCs w:val="32"/>
          <w:highlight w:val="none"/>
        </w:rPr>
        <w:t>年</w:t>
      </w:r>
      <w:r>
        <w:rPr>
          <w:rFonts w:hint="eastAsia" w:ascii="宋体" w:hAnsi="宋体" w:eastAsia="宋体" w:cs="宋体"/>
          <w:b/>
          <w:bCs/>
          <w:color w:val="auto"/>
          <w:sz w:val="32"/>
          <w:szCs w:val="32"/>
          <w:highlight w:val="none"/>
          <w:lang w:val="en-US" w:eastAsia="zh-CN"/>
        </w:rPr>
        <w:t>05</w:t>
      </w:r>
      <w:r>
        <w:rPr>
          <w:rFonts w:hint="eastAsia" w:ascii="宋体" w:hAnsi="宋体" w:eastAsia="宋体" w:cs="宋体"/>
          <w:b/>
          <w:bCs/>
          <w:color w:val="auto"/>
          <w:sz w:val="32"/>
          <w:szCs w:val="32"/>
          <w:highlight w:val="none"/>
        </w:rPr>
        <w:t>月</w:t>
      </w:r>
    </w:p>
    <w:p w14:paraId="25C1229C">
      <w:pP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br w:type="page"/>
      </w:r>
    </w:p>
    <w:p w14:paraId="01BE08F8">
      <w:pPr>
        <w:rPr>
          <w:rFonts w:hint="eastAsia" w:ascii="宋体" w:hAnsi="宋体" w:eastAsia="宋体" w:cs="宋体"/>
          <w:color w:val="auto"/>
          <w:highlight w:val="none"/>
        </w:rPr>
        <w:sectPr>
          <w:headerReference r:id="rId4" w:type="first"/>
          <w:headerReference r:id="rId3" w:type="default"/>
          <w:footerReference r:id="rId5" w:type="default"/>
          <w:pgSz w:w="11906" w:h="16838"/>
          <w:pgMar w:top="1247" w:right="1247" w:bottom="1247" w:left="1247" w:header="964" w:footer="992" w:gutter="0"/>
          <w:pgNumType w:start="0"/>
          <w:cols w:space="0" w:num="1"/>
          <w:docGrid w:type="lines" w:linePitch="319" w:charSpace="0"/>
        </w:sectPr>
      </w:pPr>
    </w:p>
    <w:p w14:paraId="6BC96F21">
      <w:pPr>
        <w:pStyle w:val="21"/>
        <w:spacing w:line="360" w:lineRule="auto"/>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目  录</w:t>
      </w:r>
    </w:p>
    <w:p w14:paraId="757BF647">
      <w:pPr>
        <w:pStyle w:val="29"/>
        <w:tabs>
          <w:tab w:val="right" w:leader="dot" w:pos="9412"/>
        </w:tabs>
        <w:rPr>
          <w:rFonts w:hint="eastAsia" w:ascii="宋体" w:hAnsi="宋体" w:eastAsia="宋体" w:cs="宋体"/>
          <w:sz w:val="28"/>
          <w:szCs w:val="28"/>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TOC \o "1-2" \h \u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fldChar w:fldCharType="begin"/>
      </w:r>
      <w:r>
        <w:rPr>
          <w:rFonts w:hint="eastAsia" w:ascii="宋体" w:hAnsi="宋体" w:eastAsia="宋体" w:cs="宋体"/>
          <w:sz w:val="28"/>
          <w:szCs w:val="28"/>
          <w:highlight w:val="none"/>
        </w:rPr>
        <w:instrText xml:space="preserve"> HYPERLINK \l _Toc4142 </w:instrText>
      </w:r>
      <w:r>
        <w:rPr>
          <w:rFonts w:hint="eastAsia" w:ascii="宋体" w:hAnsi="宋体" w:eastAsia="宋体" w:cs="宋体"/>
          <w:sz w:val="28"/>
          <w:szCs w:val="28"/>
          <w:highlight w:val="none"/>
        </w:rPr>
        <w:fldChar w:fldCharType="separate"/>
      </w:r>
      <w:r>
        <w:rPr>
          <w:rFonts w:hint="eastAsia" w:ascii="宋体" w:hAnsi="宋体" w:eastAsia="宋体" w:cs="宋体"/>
          <w:bCs/>
          <w:i w:val="0"/>
          <w:iCs w:val="0"/>
          <w:kern w:val="44"/>
          <w:sz w:val="28"/>
          <w:szCs w:val="28"/>
          <w:highlight w:val="none"/>
        </w:rPr>
        <w:t>第一章  招标公告</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_Toc4142 \h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color w:val="auto"/>
          <w:sz w:val="28"/>
          <w:szCs w:val="28"/>
          <w:highlight w:val="none"/>
        </w:rPr>
        <w:fldChar w:fldCharType="end"/>
      </w:r>
    </w:p>
    <w:p w14:paraId="4BEFED60">
      <w:pPr>
        <w:pStyle w:val="29"/>
        <w:tabs>
          <w:tab w:val="right" w:leader="dot" w:pos="9412"/>
        </w:tabs>
        <w:rPr>
          <w:rFonts w:hint="eastAsia" w:ascii="宋体" w:hAnsi="宋体" w:eastAsia="宋体" w:cs="宋体"/>
          <w:sz w:val="28"/>
          <w:szCs w:val="28"/>
        </w:rPr>
      </w:pPr>
      <w:r>
        <w:rPr>
          <w:rFonts w:hint="eastAsia" w:ascii="宋体" w:hAnsi="宋体" w:eastAsia="宋体" w:cs="宋体"/>
          <w:color w:val="auto"/>
          <w:sz w:val="28"/>
          <w:szCs w:val="28"/>
          <w:highlight w:val="none"/>
        </w:rPr>
        <w:fldChar w:fldCharType="begin"/>
      </w:r>
      <w:r>
        <w:rPr>
          <w:rFonts w:hint="eastAsia" w:ascii="宋体" w:hAnsi="宋体" w:eastAsia="宋体" w:cs="宋体"/>
          <w:sz w:val="28"/>
          <w:szCs w:val="28"/>
          <w:highlight w:val="none"/>
        </w:rPr>
        <w:instrText xml:space="preserve"> HYPERLINK \l _Toc29945 </w:instrText>
      </w:r>
      <w:r>
        <w:rPr>
          <w:rFonts w:hint="eastAsia" w:ascii="宋体" w:hAnsi="宋体" w:eastAsia="宋体" w:cs="宋体"/>
          <w:sz w:val="28"/>
          <w:szCs w:val="28"/>
          <w:highlight w:val="none"/>
        </w:rPr>
        <w:fldChar w:fldCharType="separate"/>
      </w:r>
      <w:r>
        <w:rPr>
          <w:rFonts w:hint="eastAsia" w:ascii="宋体" w:hAnsi="宋体" w:eastAsia="宋体" w:cs="宋体"/>
          <w:bCs/>
          <w:kern w:val="44"/>
          <w:sz w:val="28"/>
          <w:szCs w:val="28"/>
          <w:highlight w:val="none"/>
        </w:rPr>
        <w:t>第二章  投标人须知</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_Toc29945 \h </w:instrText>
      </w:r>
      <w:r>
        <w:rPr>
          <w:rFonts w:hint="eastAsia" w:ascii="宋体" w:hAnsi="宋体" w:eastAsia="宋体" w:cs="宋体"/>
          <w:sz w:val="28"/>
          <w:szCs w:val="28"/>
        </w:rPr>
        <w:fldChar w:fldCharType="separate"/>
      </w:r>
      <w:r>
        <w:rPr>
          <w:rFonts w:hint="eastAsia" w:ascii="宋体" w:hAnsi="宋体" w:eastAsia="宋体" w:cs="宋体"/>
          <w:sz w:val="28"/>
          <w:szCs w:val="28"/>
        </w:rPr>
        <w:t>6</w:t>
      </w:r>
      <w:r>
        <w:rPr>
          <w:rFonts w:hint="eastAsia" w:ascii="宋体" w:hAnsi="宋体" w:eastAsia="宋体" w:cs="宋体"/>
          <w:sz w:val="28"/>
          <w:szCs w:val="28"/>
        </w:rPr>
        <w:fldChar w:fldCharType="end"/>
      </w:r>
      <w:r>
        <w:rPr>
          <w:rFonts w:hint="eastAsia" w:ascii="宋体" w:hAnsi="宋体" w:eastAsia="宋体" w:cs="宋体"/>
          <w:color w:val="auto"/>
          <w:sz w:val="28"/>
          <w:szCs w:val="28"/>
          <w:highlight w:val="none"/>
        </w:rPr>
        <w:fldChar w:fldCharType="end"/>
      </w:r>
    </w:p>
    <w:p w14:paraId="4500B498">
      <w:pPr>
        <w:pStyle w:val="29"/>
        <w:tabs>
          <w:tab w:val="right" w:leader="dot" w:pos="9412"/>
        </w:tabs>
        <w:rPr>
          <w:rFonts w:hint="eastAsia" w:ascii="宋体" w:hAnsi="宋体" w:eastAsia="宋体" w:cs="宋体"/>
          <w:sz w:val="28"/>
          <w:szCs w:val="28"/>
        </w:rPr>
      </w:pPr>
      <w:r>
        <w:rPr>
          <w:rFonts w:hint="eastAsia" w:ascii="宋体" w:hAnsi="宋体" w:eastAsia="宋体" w:cs="宋体"/>
          <w:color w:val="auto"/>
          <w:sz w:val="28"/>
          <w:szCs w:val="28"/>
          <w:highlight w:val="none"/>
        </w:rPr>
        <w:fldChar w:fldCharType="begin"/>
      </w:r>
      <w:r>
        <w:rPr>
          <w:rFonts w:hint="eastAsia" w:ascii="宋体" w:hAnsi="宋体" w:eastAsia="宋体" w:cs="宋体"/>
          <w:sz w:val="28"/>
          <w:szCs w:val="28"/>
          <w:highlight w:val="none"/>
        </w:rPr>
        <w:instrText xml:space="preserve"> HYPERLINK \l _Toc8063 </w:instrText>
      </w:r>
      <w:r>
        <w:rPr>
          <w:rFonts w:hint="eastAsia" w:ascii="宋体" w:hAnsi="宋体" w:eastAsia="宋体" w:cs="宋体"/>
          <w:sz w:val="28"/>
          <w:szCs w:val="28"/>
          <w:highlight w:val="none"/>
        </w:rPr>
        <w:fldChar w:fldCharType="separate"/>
      </w:r>
      <w:r>
        <w:rPr>
          <w:rFonts w:hint="eastAsia" w:ascii="宋体" w:hAnsi="宋体" w:eastAsia="宋体" w:cs="宋体"/>
          <w:bCs/>
          <w:kern w:val="44"/>
          <w:sz w:val="28"/>
          <w:szCs w:val="28"/>
          <w:highlight w:val="none"/>
        </w:rPr>
        <w:t>第三章  合同书样式及主要条款</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_Toc8063 \h </w:instrText>
      </w:r>
      <w:r>
        <w:rPr>
          <w:rFonts w:hint="eastAsia" w:ascii="宋体" w:hAnsi="宋体" w:eastAsia="宋体" w:cs="宋体"/>
          <w:sz w:val="28"/>
          <w:szCs w:val="28"/>
        </w:rPr>
        <w:fldChar w:fldCharType="separate"/>
      </w:r>
      <w:r>
        <w:rPr>
          <w:rFonts w:hint="eastAsia" w:ascii="宋体" w:hAnsi="宋体" w:eastAsia="宋体" w:cs="宋体"/>
          <w:sz w:val="28"/>
          <w:szCs w:val="28"/>
        </w:rPr>
        <w:t>23</w:t>
      </w:r>
      <w:r>
        <w:rPr>
          <w:rFonts w:hint="eastAsia" w:ascii="宋体" w:hAnsi="宋体" w:eastAsia="宋体" w:cs="宋体"/>
          <w:sz w:val="28"/>
          <w:szCs w:val="28"/>
        </w:rPr>
        <w:fldChar w:fldCharType="end"/>
      </w:r>
      <w:r>
        <w:rPr>
          <w:rFonts w:hint="eastAsia" w:ascii="宋体" w:hAnsi="宋体" w:eastAsia="宋体" w:cs="宋体"/>
          <w:color w:val="auto"/>
          <w:sz w:val="28"/>
          <w:szCs w:val="28"/>
          <w:highlight w:val="none"/>
        </w:rPr>
        <w:fldChar w:fldCharType="end"/>
      </w:r>
    </w:p>
    <w:p w14:paraId="7EE9F162">
      <w:pPr>
        <w:pStyle w:val="29"/>
        <w:tabs>
          <w:tab w:val="right" w:leader="dot" w:pos="9412"/>
        </w:tabs>
        <w:rPr>
          <w:rFonts w:hint="eastAsia" w:ascii="宋体" w:hAnsi="宋体" w:eastAsia="宋体" w:cs="宋体"/>
          <w:sz w:val="28"/>
          <w:szCs w:val="28"/>
        </w:rPr>
      </w:pPr>
      <w:r>
        <w:rPr>
          <w:rFonts w:hint="eastAsia" w:ascii="宋体" w:hAnsi="宋体" w:eastAsia="宋体" w:cs="宋体"/>
          <w:color w:val="auto"/>
          <w:sz w:val="28"/>
          <w:szCs w:val="28"/>
          <w:highlight w:val="none"/>
        </w:rPr>
        <w:fldChar w:fldCharType="begin"/>
      </w:r>
      <w:r>
        <w:rPr>
          <w:rFonts w:hint="eastAsia" w:ascii="宋体" w:hAnsi="宋体" w:eastAsia="宋体" w:cs="宋体"/>
          <w:sz w:val="28"/>
          <w:szCs w:val="28"/>
          <w:highlight w:val="none"/>
        </w:rPr>
        <w:instrText xml:space="preserve"> HYPERLINK \l _Toc14951 </w:instrText>
      </w:r>
      <w:r>
        <w:rPr>
          <w:rFonts w:hint="eastAsia" w:ascii="宋体" w:hAnsi="宋体" w:eastAsia="宋体" w:cs="宋体"/>
          <w:sz w:val="28"/>
          <w:szCs w:val="28"/>
          <w:highlight w:val="none"/>
        </w:rPr>
        <w:fldChar w:fldCharType="separate"/>
      </w:r>
      <w:r>
        <w:rPr>
          <w:rFonts w:hint="eastAsia" w:ascii="宋体" w:hAnsi="宋体" w:eastAsia="宋体" w:cs="宋体"/>
          <w:bCs w:val="0"/>
          <w:sz w:val="28"/>
          <w:szCs w:val="28"/>
          <w:highlight w:val="none"/>
        </w:rPr>
        <w:t>第</w:t>
      </w:r>
      <w:r>
        <w:rPr>
          <w:rFonts w:hint="eastAsia" w:ascii="宋体" w:hAnsi="宋体" w:eastAsia="宋体" w:cs="宋体"/>
          <w:bCs w:val="0"/>
          <w:sz w:val="28"/>
          <w:szCs w:val="28"/>
          <w:highlight w:val="none"/>
          <w:lang w:val="en-US" w:eastAsia="zh-CN"/>
        </w:rPr>
        <w:t>四</w:t>
      </w:r>
      <w:r>
        <w:rPr>
          <w:rFonts w:hint="eastAsia" w:ascii="宋体" w:hAnsi="宋体" w:eastAsia="宋体" w:cs="宋体"/>
          <w:bCs w:val="0"/>
          <w:sz w:val="28"/>
          <w:szCs w:val="28"/>
          <w:highlight w:val="none"/>
        </w:rPr>
        <w:t>章  采购需求</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_Toc14951 \h </w:instrText>
      </w:r>
      <w:r>
        <w:rPr>
          <w:rFonts w:hint="eastAsia" w:ascii="宋体" w:hAnsi="宋体" w:eastAsia="宋体" w:cs="宋体"/>
          <w:sz w:val="28"/>
          <w:szCs w:val="28"/>
        </w:rPr>
        <w:fldChar w:fldCharType="separate"/>
      </w:r>
      <w:r>
        <w:rPr>
          <w:rFonts w:hint="eastAsia" w:ascii="宋体" w:hAnsi="宋体" w:eastAsia="宋体" w:cs="宋体"/>
          <w:sz w:val="28"/>
          <w:szCs w:val="28"/>
        </w:rPr>
        <w:t>32</w:t>
      </w:r>
      <w:r>
        <w:rPr>
          <w:rFonts w:hint="eastAsia" w:ascii="宋体" w:hAnsi="宋体" w:eastAsia="宋体" w:cs="宋体"/>
          <w:sz w:val="28"/>
          <w:szCs w:val="28"/>
        </w:rPr>
        <w:fldChar w:fldCharType="end"/>
      </w:r>
      <w:r>
        <w:rPr>
          <w:rFonts w:hint="eastAsia" w:ascii="宋体" w:hAnsi="宋体" w:eastAsia="宋体" w:cs="宋体"/>
          <w:color w:val="auto"/>
          <w:sz w:val="28"/>
          <w:szCs w:val="28"/>
          <w:highlight w:val="none"/>
        </w:rPr>
        <w:fldChar w:fldCharType="end"/>
      </w:r>
    </w:p>
    <w:p w14:paraId="270A07AF">
      <w:pPr>
        <w:pStyle w:val="29"/>
        <w:tabs>
          <w:tab w:val="right" w:leader="dot" w:pos="9412"/>
        </w:tabs>
        <w:rPr>
          <w:rFonts w:hint="eastAsia" w:ascii="宋体" w:hAnsi="宋体" w:eastAsia="宋体" w:cs="宋体"/>
          <w:sz w:val="28"/>
          <w:szCs w:val="28"/>
        </w:rPr>
      </w:pPr>
      <w:r>
        <w:rPr>
          <w:rFonts w:hint="eastAsia" w:ascii="宋体" w:hAnsi="宋体" w:eastAsia="宋体" w:cs="宋体"/>
          <w:color w:val="auto"/>
          <w:sz w:val="28"/>
          <w:szCs w:val="28"/>
          <w:highlight w:val="none"/>
        </w:rPr>
        <w:fldChar w:fldCharType="begin"/>
      </w:r>
      <w:r>
        <w:rPr>
          <w:rFonts w:hint="eastAsia" w:ascii="宋体" w:hAnsi="宋体" w:eastAsia="宋体" w:cs="宋体"/>
          <w:sz w:val="28"/>
          <w:szCs w:val="28"/>
          <w:highlight w:val="none"/>
        </w:rPr>
        <w:instrText xml:space="preserve"> HYPERLINK \l _Toc29034 </w:instrText>
      </w:r>
      <w:r>
        <w:rPr>
          <w:rFonts w:hint="eastAsia" w:ascii="宋体" w:hAnsi="宋体" w:eastAsia="宋体" w:cs="宋体"/>
          <w:sz w:val="28"/>
          <w:szCs w:val="28"/>
          <w:highlight w:val="none"/>
        </w:rPr>
        <w:fldChar w:fldCharType="separate"/>
      </w:r>
      <w:r>
        <w:rPr>
          <w:rFonts w:hint="eastAsia" w:ascii="宋体" w:hAnsi="宋体" w:eastAsia="宋体" w:cs="宋体"/>
          <w:bCs/>
          <w:sz w:val="28"/>
          <w:szCs w:val="28"/>
          <w:highlight w:val="none"/>
        </w:rPr>
        <w:t>第</w:t>
      </w:r>
      <w:r>
        <w:rPr>
          <w:rFonts w:hint="eastAsia" w:ascii="宋体" w:hAnsi="宋体" w:eastAsia="宋体" w:cs="宋体"/>
          <w:bCs/>
          <w:sz w:val="28"/>
          <w:szCs w:val="28"/>
          <w:highlight w:val="none"/>
          <w:lang w:val="en-US" w:eastAsia="zh-CN"/>
        </w:rPr>
        <w:t>五</w:t>
      </w:r>
      <w:r>
        <w:rPr>
          <w:rFonts w:hint="eastAsia" w:ascii="宋体" w:hAnsi="宋体" w:eastAsia="宋体" w:cs="宋体"/>
          <w:bCs/>
          <w:sz w:val="28"/>
          <w:szCs w:val="28"/>
          <w:highlight w:val="none"/>
        </w:rPr>
        <w:t>章  资格评审标准</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_Toc29034 \h </w:instrText>
      </w:r>
      <w:r>
        <w:rPr>
          <w:rFonts w:hint="eastAsia" w:ascii="宋体" w:hAnsi="宋体" w:eastAsia="宋体" w:cs="宋体"/>
          <w:sz w:val="28"/>
          <w:szCs w:val="28"/>
        </w:rPr>
        <w:fldChar w:fldCharType="separate"/>
      </w:r>
      <w:r>
        <w:rPr>
          <w:rFonts w:hint="eastAsia" w:ascii="宋体" w:hAnsi="宋体" w:eastAsia="宋体" w:cs="宋体"/>
          <w:sz w:val="28"/>
          <w:szCs w:val="28"/>
        </w:rPr>
        <w:t>50</w:t>
      </w:r>
      <w:r>
        <w:rPr>
          <w:rFonts w:hint="eastAsia" w:ascii="宋体" w:hAnsi="宋体" w:eastAsia="宋体" w:cs="宋体"/>
          <w:sz w:val="28"/>
          <w:szCs w:val="28"/>
        </w:rPr>
        <w:fldChar w:fldCharType="end"/>
      </w:r>
      <w:r>
        <w:rPr>
          <w:rFonts w:hint="eastAsia" w:ascii="宋体" w:hAnsi="宋体" w:eastAsia="宋体" w:cs="宋体"/>
          <w:color w:val="auto"/>
          <w:sz w:val="28"/>
          <w:szCs w:val="28"/>
          <w:highlight w:val="none"/>
        </w:rPr>
        <w:fldChar w:fldCharType="end"/>
      </w:r>
    </w:p>
    <w:p w14:paraId="5B641B31">
      <w:pPr>
        <w:pStyle w:val="29"/>
        <w:tabs>
          <w:tab w:val="right" w:leader="dot" w:pos="9412"/>
        </w:tabs>
        <w:rPr>
          <w:rFonts w:hint="eastAsia" w:ascii="宋体" w:hAnsi="宋体" w:eastAsia="宋体" w:cs="宋体"/>
          <w:sz w:val="28"/>
          <w:szCs w:val="28"/>
        </w:rPr>
      </w:pPr>
      <w:r>
        <w:rPr>
          <w:rFonts w:hint="eastAsia" w:ascii="宋体" w:hAnsi="宋体" w:eastAsia="宋体" w:cs="宋体"/>
          <w:color w:val="auto"/>
          <w:sz w:val="28"/>
          <w:szCs w:val="28"/>
          <w:highlight w:val="none"/>
        </w:rPr>
        <w:fldChar w:fldCharType="begin"/>
      </w:r>
      <w:r>
        <w:rPr>
          <w:rFonts w:hint="eastAsia" w:ascii="宋体" w:hAnsi="宋体" w:eastAsia="宋体" w:cs="宋体"/>
          <w:sz w:val="28"/>
          <w:szCs w:val="28"/>
          <w:highlight w:val="none"/>
        </w:rPr>
        <w:instrText xml:space="preserve"> HYPERLINK \l _Toc32016 </w:instrText>
      </w:r>
      <w:r>
        <w:rPr>
          <w:rFonts w:hint="eastAsia" w:ascii="宋体" w:hAnsi="宋体" w:eastAsia="宋体" w:cs="宋体"/>
          <w:sz w:val="28"/>
          <w:szCs w:val="28"/>
          <w:highlight w:val="none"/>
        </w:rPr>
        <w:fldChar w:fldCharType="separate"/>
      </w:r>
      <w:r>
        <w:rPr>
          <w:rFonts w:hint="eastAsia" w:ascii="宋体" w:hAnsi="宋体" w:eastAsia="宋体" w:cs="宋体"/>
          <w:bCs/>
          <w:sz w:val="28"/>
          <w:szCs w:val="28"/>
          <w:highlight w:val="none"/>
        </w:rPr>
        <w:t>第</w:t>
      </w:r>
      <w:r>
        <w:rPr>
          <w:rFonts w:hint="eastAsia" w:ascii="宋体" w:hAnsi="宋体" w:eastAsia="宋体" w:cs="宋体"/>
          <w:bCs/>
          <w:sz w:val="28"/>
          <w:szCs w:val="28"/>
          <w:highlight w:val="none"/>
          <w:lang w:val="en-US" w:eastAsia="zh-CN"/>
        </w:rPr>
        <w:t>六</w:t>
      </w:r>
      <w:r>
        <w:rPr>
          <w:rFonts w:hint="eastAsia" w:ascii="宋体" w:hAnsi="宋体" w:eastAsia="宋体" w:cs="宋体"/>
          <w:bCs/>
          <w:sz w:val="28"/>
          <w:szCs w:val="28"/>
          <w:highlight w:val="none"/>
        </w:rPr>
        <w:t>章  评标办法（综合评分法）</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_Toc32016 \h </w:instrText>
      </w:r>
      <w:r>
        <w:rPr>
          <w:rFonts w:hint="eastAsia" w:ascii="宋体" w:hAnsi="宋体" w:eastAsia="宋体" w:cs="宋体"/>
          <w:sz w:val="28"/>
          <w:szCs w:val="28"/>
        </w:rPr>
        <w:fldChar w:fldCharType="separate"/>
      </w:r>
      <w:r>
        <w:rPr>
          <w:rFonts w:hint="eastAsia" w:ascii="宋体" w:hAnsi="宋体" w:eastAsia="宋体" w:cs="宋体"/>
          <w:sz w:val="28"/>
          <w:szCs w:val="28"/>
        </w:rPr>
        <w:t>52</w:t>
      </w:r>
      <w:r>
        <w:rPr>
          <w:rFonts w:hint="eastAsia" w:ascii="宋体" w:hAnsi="宋体" w:eastAsia="宋体" w:cs="宋体"/>
          <w:sz w:val="28"/>
          <w:szCs w:val="28"/>
        </w:rPr>
        <w:fldChar w:fldCharType="end"/>
      </w:r>
      <w:r>
        <w:rPr>
          <w:rFonts w:hint="eastAsia" w:ascii="宋体" w:hAnsi="宋体" w:eastAsia="宋体" w:cs="宋体"/>
          <w:color w:val="auto"/>
          <w:sz w:val="28"/>
          <w:szCs w:val="28"/>
          <w:highlight w:val="none"/>
        </w:rPr>
        <w:fldChar w:fldCharType="end"/>
      </w:r>
    </w:p>
    <w:p w14:paraId="38BB6BE5">
      <w:pPr>
        <w:pStyle w:val="29"/>
        <w:tabs>
          <w:tab w:val="right" w:leader="dot" w:pos="9412"/>
        </w:tabs>
        <w:rPr>
          <w:rFonts w:hint="eastAsia" w:ascii="宋体" w:hAnsi="宋体" w:eastAsia="宋体" w:cs="宋体"/>
          <w:sz w:val="28"/>
          <w:szCs w:val="28"/>
        </w:rPr>
      </w:pPr>
      <w:r>
        <w:rPr>
          <w:rFonts w:hint="eastAsia" w:ascii="宋体" w:hAnsi="宋体" w:eastAsia="宋体" w:cs="宋体"/>
          <w:color w:val="auto"/>
          <w:sz w:val="28"/>
          <w:szCs w:val="28"/>
          <w:highlight w:val="none"/>
        </w:rPr>
        <w:fldChar w:fldCharType="begin"/>
      </w:r>
      <w:r>
        <w:rPr>
          <w:rFonts w:hint="eastAsia" w:ascii="宋体" w:hAnsi="宋体" w:eastAsia="宋体" w:cs="宋体"/>
          <w:sz w:val="28"/>
          <w:szCs w:val="28"/>
          <w:highlight w:val="none"/>
        </w:rPr>
        <w:instrText xml:space="preserve"> HYPERLINK \l _Toc26881 </w:instrText>
      </w:r>
      <w:r>
        <w:rPr>
          <w:rFonts w:hint="eastAsia" w:ascii="宋体" w:hAnsi="宋体" w:eastAsia="宋体" w:cs="宋体"/>
          <w:sz w:val="28"/>
          <w:szCs w:val="28"/>
          <w:highlight w:val="none"/>
        </w:rPr>
        <w:fldChar w:fldCharType="separate"/>
      </w:r>
      <w:r>
        <w:rPr>
          <w:rFonts w:hint="eastAsia" w:ascii="宋体" w:hAnsi="宋体" w:eastAsia="宋体" w:cs="宋体"/>
          <w:bCs/>
          <w:sz w:val="28"/>
          <w:szCs w:val="28"/>
          <w:highlight w:val="none"/>
        </w:rPr>
        <w:t>第</w:t>
      </w:r>
      <w:r>
        <w:rPr>
          <w:rFonts w:hint="eastAsia" w:ascii="宋体" w:hAnsi="宋体" w:eastAsia="宋体" w:cs="宋体"/>
          <w:bCs/>
          <w:sz w:val="28"/>
          <w:szCs w:val="28"/>
          <w:highlight w:val="none"/>
          <w:lang w:val="en-US" w:eastAsia="zh-CN"/>
        </w:rPr>
        <w:t>七</w:t>
      </w:r>
      <w:r>
        <w:rPr>
          <w:rFonts w:hint="eastAsia" w:ascii="宋体" w:hAnsi="宋体" w:eastAsia="宋体" w:cs="宋体"/>
          <w:bCs/>
          <w:sz w:val="28"/>
          <w:szCs w:val="28"/>
          <w:highlight w:val="none"/>
        </w:rPr>
        <w:t>章  投标文件格式</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_Toc26881 \h </w:instrText>
      </w:r>
      <w:r>
        <w:rPr>
          <w:rFonts w:hint="eastAsia" w:ascii="宋体" w:hAnsi="宋体" w:eastAsia="宋体" w:cs="宋体"/>
          <w:sz w:val="28"/>
          <w:szCs w:val="28"/>
        </w:rPr>
        <w:fldChar w:fldCharType="separate"/>
      </w:r>
      <w:r>
        <w:rPr>
          <w:rFonts w:hint="eastAsia" w:ascii="宋体" w:hAnsi="宋体" w:eastAsia="宋体" w:cs="宋体"/>
          <w:sz w:val="28"/>
          <w:szCs w:val="28"/>
        </w:rPr>
        <w:t>62</w:t>
      </w:r>
      <w:r>
        <w:rPr>
          <w:rFonts w:hint="eastAsia" w:ascii="宋体" w:hAnsi="宋体" w:eastAsia="宋体" w:cs="宋体"/>
          <w:sz w:val="28"/>
          <w:szCs w:val="28"/>
        </w:rPr>
        <w:fldChar w:fldCharType="end"/>
      </w:r>
      <w:r>
        <w:rPr>
          <w:rFonts w:hint="eastAsia" w:ascii="宋体" w:hAnsi="宋体" w:eastAsia="宋体" w:cs="宋体"/>
          <w:color w:val="auto"/>
          <w:sz w:val="28"/>
          <w:szCs w:val="28"/>
          <w:highlight w:val="none"/>
        </w:rPr>
        <w:fldChar w:fldCharType="end"/>
      </w:r>
    </w:p>
    <w:p w14:paraId="34F3397B">
      <w:pPr>
        <w:pStyle w:val="21"/>
        <w:spacing w:line="360" w:lineRule="auto"/>
        <w:jc w:val="center"/>
        <w:rPr>
          <w:rFonts w:hint="eastAsia" w:ascii="宋体" w:hAnsi="宋体" w:eastAsia="宋体" w:cs="宋体"/>
          <w:b/>
          <w:color w:val="auto"/>
          <w:sz w:val="36"/>
          <w:szCs w:val="36"/>
          <w:highlight w:val="none"/>
        </w:rPr>
      </w:pPr>
      <w:r>
        <w:rPr>
          <w:rFonts w:hint="eastAsia" w:ascii="宋体" w:hAnsi="宋体" w:eastAsia="宋体" w:cs="宋体"/>
          <w:color w:val="auto"/>
          <w:sz w:val="28"/>
          <w:szCs w:val="28"/>
          <w:highlight w:val="none"/>
        </w:rPr>
        <w:fldChar w:fldCharType="end"/>
      </w:r>
    </w:p>
    <w:p w14:paraId="71F0E864">
      <w:pPr>
        <w:pStyle w:val="20"/>
        <w:tabs>
          <w:tab w:val="right" w:leader="dot" w:pos="9353"/>
        </w:tabs>
        <w:ind w:left="630"/>
        <w:jc w:val="center"/>
        <w:outlineLvl w:val="0"/>
        <w:rPr>
          <w:rFonts w:hint="eastAsia" w:ascii="宋体" w:hAnsi="宋体" w:eastAsia="宋体" w:cs="宋体"/>
          <w:b/>
          <w:bCs/>
          <w:i w:val="0"/>
          <w:iCs w:val="0"/>
          <w:color w:val="auto"/>
          <w:kern w:val="44"/>
          <w:sz w:val="36"/>
          <w:highlight w:val="none"/>
        </w:rPr>
        <w:sectPr>
          <w:footerReference r:id="rId6" w:type="default"/>
          <w:pgSz w:w="11906" w:h="16838"/>
          <w:pgMar w:top="1247" w:right="1247" w:bottom="1247" w:left="1247" w:header="964" w:footer="992" w:gutter="0"/>
          <w:pgNumType w:start="1"/>
          <w:cols w:space="0" w:num="1"/>
          <w:docGrid w:type="lines" w:linePitch="319" w:charSpace="0"/>
        </w:sectPr>
      </w:pPr>
      <w:bookmarkStart w:id="0" w:name="_Toc3600"/>
      <w:bookmarkStart w:id="1" w:name="_Toc5719"/>
    </w:p>
    <w:bookmarkEnd w:id="0"/>
    <w:bookmarkEnd w:id="1"/>
    <w:p w14:paraId="19341154">
      <w:pPr>
        <w:pStyle w:val="20"/>
        <w:tabs>
          <w:tab w:val="right" w:leader="dot" w:pos="9353"/>
        </w:tabs>
        <w:ind w:left="630"/>
        <w:jc w:val="center"/>
        <w:outlineLvl w:val="0"/>
        <w:rPr>
          <w:rFonts w:hint="eastAsia" w:ascii="宋体" w:hAnsi="宋体" w:eastAsia="宋体" w:cs="宋体"/>
          <w:bCs/>
          <w:color w:val="auto"/>
          <w:sz w:val="36"/>
          <w:highlight w:val="none"/>
        </w:rPr>
      </w:pPr>
      <w:bookmarkStart w:id="2" w:name="_Toc25933"/>
      <w:bookmarkStart w:id="3" w:name="_Toc4142"/>
      <w:r>
        <w:rPr>
          <w:rFonts w:hint="eastAsia" w:ascii="宋体" w:hAnsi="宋体" w:eastAsia="宋体" w:cs="宋体"/>
          <w:b/>
          <w:bCs/>
          <w:i w:val="0"/>
          <w:iCs w:val="0"/>
          <w:color w:val="auto"/>
          <w:kern w:val="44"/>
          <w:sz w:val="36"/>
          <w:highlight w:val="none"/>
        </w:rPr>
        <w:t>第一章  招标公告</w:t>
      </w:r>
      <w:bookmarkEnd w:id="2"/>
      <w:bookmarkEnd w:id="3"/>
      <w:bookmarkStart w:id="4" w:name="_Hlk111045776"/>
    </w:p>
    <w:bookmarkEnd w:id="4"/>
    <w:tbl>
      <w:tblPr>
        <w:tblStyle w:val="42"/>
        <w:tblW w:w="0" w:type="auto"/>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9633"/>
      </w:tblGrid>
      <w:tr w14:paraId="199D85D5">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jc w:val="center"/>
        </w:trPr>
        <w:tc>
          <w:tcPr>
            <w:tcW w:w="9633" w:type="dxa"/>
            <w:tcBorders>
              <w:top w:val="outset" w:color="auto" w:sz="6" w:space="0"/>
              <w:left w:val="outset" w:color="auto" w:sz="6" w:space="0"/>
              <w:bottom w:val="outset" w:color="auto" w:sz="6" w:space="0"/>
              <w:right w:val="outset" w:color="auto" w:sz="6" w:space="0"/>
            </w:tcBorders>
            <w:noWrap w:val="0"/>
            <w:vAlign w:val="center"/>
          </w:tcPr>
          <w:p w14:paraId="4858BD4E">
            <w:pPr>
              <w:widowControl/>
              <w:spacing w:line="360" w:lineRule="auto"/>
              <w:ind w:firstLine="480" w:firstLineChars="200"/>
              <w:jc w:val="left"/>
              <w:rPr>
                <w:rFonts w:hint="eastAsia" w:ascii="宋体" w:hAnsi="宋体" w:eastAsia="宋体" w:cs="宋体"/>
                <w:color w:val="auto"/>
                <w:kern w:val="0"/>
                <w:sz w:val="24"/>
                <w:highlight w:val="none"/>
              </w:rPr>
            </w:pPr>
            <w:bookmarkStart w:id="5" w:name="_Hlk47538808"/>
            <w:r>
              <w:rPr>
                <w:rFonts w:hint="eastAsia" w:ascii="宋体" w:hAnsi="宋体" w:eastAsia="宋体" w:cs="宋体"/>
                <w:color w:val="auto"/>
                <w:kern w:val="0"/>
                <w:sz w:val="24"/>
                <w:highlight w:val="none"/>
              </w:rPr>
              <w:t>项目概况</w:t>
            </w:r>
          </w:p>
          <w:p w14:paraId="0E1360D1">
            <w:pPr>
              <w:keepNext w:val="0"/>
              <w:keepLines w:val="0"/>
              <w:pageBreakBefore w:val="0"/>
              <w:widowControl/>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cs="宋体"/>
                <w:color w:val="auto"/>
                <w:kern w:val="0"/>
                <w:sz w:val="24"/>
                <w:highlight w:val="none"/>
                <w:u w:val="single"/>
                <w:lang w:eastAsia="zh-CN"/>
              </w:rPr>
              <w:t>玉溪职业技术学院（云南省玉溪工业财贸学校）改善办学条件采购项目</w:t>
            </w:r>
            <w:r>
              <w:rPr>
                <w:rFonts w:hint="eastAsia" w:ascii="宋体" w:hAnsi="宋体" w:eastAsia="宋体" w:cs="宋体"/>
                <w:color w:val="auto"/>
                <w:kern w:val="0"/>
                <w:sz w:val="24"/>
                <w:highlight w:val="none"/>
              </w:rPr>
              <w:t>的潜在投标人应在政采云平台（https://www.zcygov.cn/），凭企业数字证书（CA）在网上获取招标文件，</w:t>
            </w:r>
            <w:r>
              <w:rPr>
                <w:rFonts w:hint="eastAsia" w:ascii="宋体" w:hAnsi="宋体" w:eastAsia="宋体" w:cs="宋体"/>
                <w:b/>
                <w:bCs/>
                <w:color w:val="auto"/>
                <w:kern w:val="0"/>
                <w:sz w:val="24"/>
                <w:highlight w:val="none"/>
              </w:rPr>
              <w:t>并于2026年0</w:t>
            </w:r>
            <w:r>
              <w:rPr>
                <w:rFonts w:hint="eastAsia" w:ascii="宋体" w:hAnsi="宋体" w:eastAsia="宋体" w:cs="宋体"/>
                <w:b/>
                <w:bCs/>
                <w:color w:val="auto"/>
                <w:kern w:val="0"/>
                <w:sz w:val="24"/>
                <w:highlight w:val="none"/>
                <w:lang w:val="en-US" w:eastAsia="zh-CN"/>
              </w:rPr>
              <w:t>5</w:t>
            </w:r>
            <w:r>
              <w:rPr>
                <w:rFonts w:hint="eastAsia" w:ascii="宋体" w:hAnsi="宋体" w:eastAsia="宋体" w:cs="宋体"/>
                <w:b/>
                <w:bCs/>
                <w:color w:val="auto"/>
                <w:kern w:val="0"/>
                <w:sz w:val="24"/>
                <w:highlight w:val="none"/>
              </w:rPr>
              <w:t>月</w:t>
            </w:r>
            <w:r>
              <w:rPr>
                <w:rFonts w:hint="eastAsia" w:ascii="宋体" w:hAnsi="宋体" w:cs="宋体"/>
                <w:b/>
                <w:bCs/>
                <w:color w:val="auto"/>
                <w:kern w:val="0"/>
                <w:sz w:val="24"/>
                <w:highlight w:val="none"/>
                <w:lang w:val="en-US" w:eastAsia="zh-CN"/>
              </w:rPr>
              <w:t>29</w:t>
            </w:r>
            <w:r>
              <w:rPr>
                <w:rFonts w:hint="eastAsia" w:ascii="宋体" w:hAnsi="宋体" w:eastAsia="宋体" w:cs="宋体"/>
                <w:b/>
                <w:bCs/>
                <w:color w:val="auto"/>
                <w:kern w:val="0"/>
                <w:sz w:val="24"/>
                <w:highlight w:val="none"/>
              </w:rPr>
              <w:t>日09时00分（北京时间）前</w:t>
            </w:r>
            <w:r>
              <w:rPr>
                <w:rFonts w:hint="eastAsia" w:ascii="宋体" w:hAnsi="宋体" w:eastAsia="宋体" w:cs="宋体"/>
                <w:color w:val="auto"/>
                <w:kern w:val="0"/>
                <w:sz w:val="24"/>
                <w:highlight w:val="none"/>
              </w:rPr>
              <w:t>递交投标文件。</w:t>
            </w:r>
          </w:p>
        </w:tc>
      </w:tr>
    </w:tbl>
    <w:p w14:paraId="04F7119E">
      <w:pPr>
        <w:widowControl/>
        <w:spacing w:line="360" w:lineRule="auto"/>
        <w:jc w:val="left"/>
        <w:outlineLvl w:val="1"/>
        <w:rPr>
          <w:rFonts w:hint="eastAsia" w:ascii="宋体" w:hAnsi="宋体" w:eastAsia="宋体" w:cs="宋体"/>
          <w:color w:val="auto"/>
          <w:kern w:val="0"/>
          <w:sz w:val="24"/>
          <w:highlight w:val="none"/>
        </w:rPr>
      </w:pPr>
      <w:bookmarkStart w:id="6" w:name="_Toc27636"/>
      <w:bookmarkStart w:id="7" w:name="_Toc27339"/>
      <w:bookmarkStart w:id="8" w:name="_Toc20759"/>
      <w:bookmarkStart w:id="9" w:name="_Toc15358"/>
      <w:bookmarkStart w:id="10" w:name="_Toc21206"/>
      <w:r>
        <w:rPr>
          <w:rFonts w:hint="eastAsia" w:ascii="宋体" w:hAnsi="宋体" w:eastAsia="宋体" w:cs="宋体"/>
          <w:b/>
          <w:bCs/>
          <w:color w:val="auto"/>
          <w:kern w:val="0"/>
          <w:sz w:val="24"/>
          <w:highlight w:val="none"/>
        </w:rPr>
        <w:t>一、项目基本情况</w:t>
      </w:r>
      <w:bookmarkEnd w:id="6"/>
      <w:bookmarkEnd w:id="7"/>
      <w:bookmarkEnd w:id="8"/>
      <w:bookmarkEnd w:id="9"/>
      <w:bookmarkEnd w:id="10"/>
    </w:p>
    <w:p w14:paraId="7B439346">
      <w:pPr>
        <w:keepNext w:val="0"/>
        <w:keepLines w:val="0"/>
        <w:pageBreakBefore w:val="0"/>
        <w:widowControl/>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rPr>
        <w:t>1.项目编号：</w:t>
      </w:r>
      <w:r>
        <w:rPr>
          <w:rFonts w:hint="eastAsia" w:ascii="宋体" w:hAnsi="宋体" w:eastAsia="宋体" w:cs="宋体"/>
          <w:color w:val="auto"/>
          <w:kern w:val="0"/>
          <w:sz w:val="24"/>
          <w:highlight w:val="none"/>
          <w:lang w:eastAsia="zh-CN"/>
        </w:rPr>
        <w:t>WTZB-202605-00</w:t>
      </w:r>
      <w:r>
        <w:rPr>
          <w:rFonts w:hint="eastAsia" w:ascii="宋体" w:hAnsi="宋体" w:eastAsia="宋体" w:cs="宋体"/>
          <w:color w:val="auto"/>
          <w:kern w:val="0"/>
          <w:sz w:val="24"/>
          <w:highlight w:val="none"/>
          <w:lang w:val="en-US" w:eastAsia="zh-CN"/>
        </w:rPr>
        <w:t>1</w:t>
      </w:r>
    </w:p>
    <w:p w14:paraId="1B2F34F8">
      <w:pPr>
        <w:keepNext w:val="0"/>
        <w:keepLines w:val="0"/>
        <w:pageBreakBefore w:val="0"/>
        <w:widowControl/>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rPr>
        <w:t>2.项目名称：</w:t>
      </w:r>
      <w:r>
        <w:rPr>
          <w:rFonts w:hint="eastAsia" w:ascii="宋体" w:hAnsi="宋体" w:cs="宋体"/>
          <w:color w:val="auto"/>
          <w:kern w:val="0"/>
          <w:sz w:val="24"/>
          <w:highlight w:val="none"/>
          <w:lang w:eastAsia="zh-CN"/>
        </w:rPr>
        <w:t>玉溪职业技术学院（云南省玉溪工业财贸学校）改善办学条件采购项目</w:t>
      </w:r>
    </w:p>
    <w:p w14:paraId="7CB45BF8">
      <w:pPr>
        <w:keepNext w:val="0"/>
        <w:keepLines w:val="0"/>
        <w:pageBreakBefore w:val="0"/>
        <w:widowControl/>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rPr>
        <w:t>3.预算金额（最高限价）：小写：¥</w:t>
      </w:r>
      <w:r>
        <w:rPr>
          <w:rFonts w:hint="eastAsia" w:ascii="宋体" w:hAnsi="宋体" w:eastAsia="宋体" w:cs="宋体"/>
          <w:color w:val="auto"/>
          <w:kern w:val="0"/>
          <w:sz w:val="24"/>
          <w:highlight w:val="none"/>
          <w:lang w:val="en-US" w:eastAsia="zh-CN"/>
        </w:rPr>
        <w:t>355</w:t>
      </w:r>
      <w:r>
        <w:rPr>
          <w:rFonts w:hint="eastAsia" w:ascii="宋体" w:hAnsi="宋体" w:cs="宋体"/>
          <w:color w:val="auto"/>
          <w:kern w:val="0"/>
          <w:sz w:val="24"/>
          <w:highlight w:val="none"/>
          <w:lang w:val="en-US" w:eastAsia="zh-CN"/>
        </w:rPr>
        <w:t>66</w:t>
      </w:r>
      <w:r>
        <w:rPr>
          <w:rFonts w:hint="eastAsia" w:ascii="宋体" w:hAnsi="宋体" w:eastAsia="宋体" w:cs="宋体"/>
          <w:color w:val="auto"/>
          <w:kern w:val="0"/>
          <w:sz w:val="24"/>
          <w:highlight w:val="none"/>
          <w:lang w:val="en-US" w:eastAsia="zh-CN"/>
        </w:rPr>
        <w:t>00.00</w:t>
      </w:r>
      <w:r>
        <w:rPr>
          <w:rFonts w:hint="eastAsia" w:ascii="宋体" w:hAnsi="宋体" w:eastAsia="宋体" w:cs="宋体"/>
          <w:color w:val="auto"/>
          <w:kern w:val="0"/>
          <w:sz w:val="24"/>
          <w:highlight w:val="none"/>
        </w:rPr>
        <w:t>元；</w:t>
      </w:r>
      <w:r>
        <w:rPr>
          <w:rFonts w:hint="eastAsia" w:ascii="宋体" w:hAnsi="宋体" w:eastAsia="宋体" w:cs="宋体"/>
          <w:color w:val="auto"/>
          <w:kern w:val="0"/>
          <w:sz w:val="24"/>
          <w:highlight w:val="none"/>
          <w:lang w:val="en-US" w:eastAsia="zh-CN"/>
        </w:rPr>
        <w:t>大写：人民币</w:t>
      </w:r>
      <w:r>
        <w:rPr>
          <w:rFonts w:hint="eastAsia" w:ascii="宋体" w:hAnsi="宋体" w:cs="宋体"/>
          <w:color w:val="auto"/>
          <w:kern w:val="0"/>
          <w:sz w:val="24"/>
          <w:highlight w:val="none"/>
          <w:lang w:val="en-US" w:eastAsia="zh-CN"/>
        </w:rPr>
        <w:t>叁佰伍拾伍万陆仟陆佰</w:t>
      </w:r>
      <w:r>
        <w:rPr>
          <w:rFonts w:hint="eastAsia" w:ascii="宋体" w:hAnsi="宋体" w:eastAsia="宋体" w:cs="宋体"/>
          <w:color w:val="auto"/>
          <w:kern w:val="0"/>
          <w:sz w:val="24"/>
          <w:highlight w:val="none"/>
          <w:lang w:val="en-US" w:eastAsia="zh-CN"/>
        </w:rPr>
        <w:t>元整。</w:t>
      </w:r>
      <w:r>
        <w:rPr>
          <w:rFonts w:hint="eastAsia" w:ascii="宋体" w:hAnsi="宋体" w:eastAsia="宋体" w:cs="宋体"/>
          <w:color w:val="auto"/>
          <w:kern w:val="0"/>
          <w:sz w:val="24"/>
          <w:highlight w:val="none"/>
        </w:rPr>
        <w:t>其中</w:t>
      </w:r>
      <w:r>
        <w:rPr>
          <w:rFonts w:hint="eastAsia" w:ascii="宋体" w:hAnsi="宋体" w:eastAsia="宋体" w:cs="宋体"/>
          <w:color w:val="auto"/>
          <w:kern w:val="0"/>
          <w:sz w:val="24"/>
          <w:highlight w:val="none"/>
          <w:lang w:eastAsia="zh-CN"/>
        </w:rPr>
        <w:t>：</w:t>
      </w:r>
    </w:p>
    <w:p w14:paraId="5E11C5A9">
      <w:pPr>
        <w:keepNext w:val="0"/>
        <w:keepLines w:val="0"/>
        <w:pageBreakBefore w:val="0"/>
        <w:widowControl/>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rPr>
        <w:t>标段</w:t>
      </w:r>
      <w:r>
        <w:rPr>
          <w:rFonts w:hint="eastAsia" w:ascii="宋体" w:hAnsi="宋体" w:eastAsia="宋体" w:cs="宋体"/>
          <w:color w:val="auto"/>
          <w:kern w:val="0"/>
          <w:sz w:val="24"/>
          <w:highlight w:val="none"/>
          <w:lang w:val="en-US" w:eastAsia="zh-CN"/>
        </w:rPr>
        <w:t xml:space="preserve">1 </w:t>
      </w:r>
      <w:r>
        <w:rPr>
          <w:rFonts w:hint="eastAsia" w:ascii="宋体" w:hAnsi="宋体" w:cs="宋体"/>
          <w:color w:val="auto"/>
          <w:kern w:val="0"/>
          <w:sz w:val="24"/>
          <w:highlight w:val="none"/>
          <w:lang w:eastAsia="zh-CN"/>
        </w:rPr>
        <w:t>图书采购（图书配套设施设备）项目</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rPr>
        <w:t>小写：¥</w:t>
      </w:r>
      <w:r>
        <w:rPr>
          <w:rFonts w:hint="eastAsia" w:ascii="宋体" w:hAnsi="宋体" w:eastAsia="宋体" w:cs="宋体"/>
          <w:b w:val="0"/>
          <w:bCs w:val="0"/>
          <w:color w:val="auto"/>
          <w:sz w:val="24"/>
          <w:szCs w:val="24"/>
          <w:highlight w:val="none"/>
          <w:vertAlign w:val="baseline"/>
          <w:lang w:val="en-US" w:eastAsia="zh-CN"/>
        </w:rPr>
        <w:t>306600.00</w:t>
      </w:r>
      <w:r>
        <w:rPr>
          <w:rFonts w:hint="eastAsia" w:ascii="宋体" w:hAnsi="宋体" w:eastAsia="宋体" w:cs="宋体"/>
          <w:color w:val="auto"/>
          <w:kern w:val="0"/>
          <w:sz w:val="24"/>
          <w:highlight w:val="none"/>
        </w:rPr>
        <w:t>元</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lang w:val="en-US" w:eastAsia="zh-CN"/>
        </w:rPr>
        <w:t>大写：人民币</w:t>
      </w:r>
      <w:r>
        <w:rPr>
          <w:rFonts w:hint="eastAsia" w:ascii="宋体" w:hAnsi="宋体" w:cs="宋体"/>
          <w:color w:val="auto"/>
          <w:kern w:val="0"/>
          <w:sz w:val="24"/>
          <w:highlight w:val="none"/>
          <w:lang w:val="en-US" w:eastAsia="zh-CN"/>
        </w:rPr>
        <w:t>叁拾万陆仟陆佰</w:t>
      </w:r>
      <w:r>
        <w:rPr>
          <w:rFonts w:hint="eastAsia" w:ascii="宋体" w:hAnsi="宋体" w:eastAsia="宋体" w:cs="宋体"/>
          <w:color w:val="auto"/>
          <w:kern w:val="0"/>
          <w:sz w:val="24"/>
          <w:highlight w:val="none"/>
          <w:lang w:val="en-US" w:eastAsia="zh-CN"/>
        </w:rPr>
        <w:t>元整；</w:t>
      </w:r>
    </w:p>
    <w:p w14:paraId="12327F1B">
      <w:pPr>
        <w:keepNext w:val="0"/>
        <w:keepLines w:val="0"/>
        <w:pageBreakBefore w:val="0"/>
        <w:widowControl/>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rPr>
        <w:t>标段</w:t>
      </w:r>
      <w:r>
        <w:rPr>
          <w:rFonts w:hint="eastAsia" w:ascii="宋体" w:hAnsi="宋体" w:eastAsia="宋体" w:cs="宋体"/>
          <w:color w:val="auto"/>
          <w:kern w:val="0"/>
          <w:sz w:val="24"/>
          <w:highlight w:val="none"/>
          <w:lang w:val="en-US" w:eastAsia="zh-CN"/>
        </w:rPr>
        <w:t xml:space="preserve">2 </w:t>
      </w:r>
      <w:r>
        <w:rPr>
          <w:rFonts w:hint="eastAsia" w:ascii="宋体" w:hAnsi="宋体" w:cs="宋体"/>
          <w:color w:val="auto"/>
          <w:kern w:val="0"/>
          <w:sz w:val="24"/>
          <w:highlight w:val="none"/>
          <w:lang w:eastAsia="zh-CN"/>
        </w:rPr>
        <w:t>图书采购（图书）项目</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lang w:val="en-US" w:eastAsia="zh-CN"/>
        </w:rPr>
        <w:t>小写:</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val="en-US" w:eastAsia="zh-CN"/>
        </w:rPr>
        <w:t>1400000</w:t>
      </w:r>
      <w:r>
        <w:rPr>
          <w:rFonts w:hint="eastAsia" w:ascii="宋体" w:hAnsi="宋体" w:eastAsia="宋体" w:cs="宋体"/>
          <w:i w:val="0"/>
          <w:iCs w:val="0"/>
          <w:color w:val="auto"/>
          <w:kern w:val="0"/>
          <w:sz w:val="24"/>
          <w:szCs w:val="24"/>
          <w:highlight w:val="none"/>
          <w:u w:val="none"/>
          <w:lang w:val="en-US" w:eastAsia="zh-CN" w:bidi="ar"/>
        </w:rPr>
        <w:t>.00元</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lang w:val="en-US" w:eastAsia="zh-CN"/>
        </w:rPr>
        <w:t>大写：人民币壹佰肆拾万元整。</w:t>
      </w:r>
    </w:p>
    <w:p w14:paraId="4AF208EB">
      <w:pPr>
        <w:keepNext w:val="0"/>
        <w:keepLines w:val="0"/>
        <w:pageBreakBefore w:val="0"/>
        <w:widowControl/>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rPr>
        <w:t>标段</w:t>
      </w:r>
      <w:r>
        <w:rPr>
          <w:rFonts w:hint="eastAsia" w:ascii="宋体" w:hAnsi="宋体" w:eastAsia="宋体" w:cs="宋体"/>
          <w:color w:val="auto"/>
          <w:kern w:val="0"/>
          <w:sz w:val="24"/>
          <w:highlight w:val="none"/>
          <w:lang w:val="en-US" w:eastAsia="zh-CN"/>
        </w:rPr>
        <w:t xml:space="preserve">3 </w:t>
      </w:r>
      <w:r>
        <w:rPr>
          <w:rFonts w:hint="eastAsia" w:ascii="宋体" w:hAnsi="宋体" w:eastAsia="宋体" w:cs="宋体"/>
          <w:color w:val="auto"/>
          <w:kern w:val="0"/>
          <w:sz w:val="24"/>
          <w:highlight w:val="none"/>
          <w:lang w:eastAsia="zh-CN"/>
        </w:rPr>
        <w:t>国产办公软件正版化授权采购项目，</w:t>
      </w:r>
      <w:r>
        <w:rPr>
          <w:rFonts w:hint="eastAsia" w:ascii="宋体" w:hAnsi="宋体" w:eastAsia="宋体" w:cs="宋体"/>
          <w:color w:val="auto"/>
          <w:kern w:val="0"/>
          <w:sz w:val="24"/>
          <w:highlight w:val="none"/>
        </w:rPr>
        <w:t>小写：¥</w:t>
      </w:r>
      <w:r>
        <w:rPr>
          <w:rFonts w:hint="eastAsia" w:ascii="宋体" w:hAnsi="宋体" w:eastAsia="宋体" w:cs="宋体"/>
          <w:b w:val="0"/>
          <w:bCs w:val="0"/>
          <w:color w:val="auto"/>
          <w:sz w:val="24"/>
          <w:szCs w:val="24"/>
          <w:highlight w:val="none"/>
          <w:vertAlign w:val="baseline"/>
          <w:lang w:val="en-US" w:eastAsia="zh-CN"/>
        </w:rPr>
        <w:t>750000.00</w:t>
      </w:r>
      <w:r>
        <w:rPr>
          <w:rFonts w:hint="eastAsia" w:ascii="宋体" w:hAnsi="宋体" w:eastAsia="宋体" w:cs="宋体"/>
          <w:color w:val="auto"/>
          <w:kern w:val="0"/>
          <w:sz w:val="24"/>
          <w:highlight w:val="none"/>
        </w:rPr>
        <w:t>元</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lang w:val="en-US" w:eastAsia="zh-CN"/>
        </w:rPr>
        <w:t>大写：人民币柒拾伍万元整。</w:t>
      </w:r>
    </w:p>
    <w:p w14:paraId="72B846E0">
      <w:pPr>
        <w:keepNext w:val="0"/>
        <w:keepLines w:val="0"/>
        <w:pageBreakBefore w:val="0"/>
        <w:widowControl/>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rPr>
        <w:t>标段</w:t>
      </w:r>
      <w:r>
        <w:rPr>
          <w:rFonts w:hint="eastAsia" w:ascii="宋体" w:hAnsi="宋体" w:eastAsia="宋体" w:cs="宋体"/>
          <w:color w:val="auto"/>
          <w:kern w:val="0"/>
          <w:sz w:val="24"/>
          <w:highlight w:val="none"/>
          <w:lang w:val="en-US" w:eastAsia="zh-CN"/>
        </w:rPr>
        <w:t xml:space="preserve">4 </w:t>
      </w:r>
      <w:r>
        <w:rPr>
          <w:rFonts w:hint="eastAsia" w:ascii="宋体" w:hAnsi="宋体" w:eastAsia="宋体" w:cs="宋体"/>
          <w:color w:val="auto"/>
          <w:kern w:val="0"/>
          <w:sz w:val="24"/>
          <w:highlight w:val="none"/>
          <w:lang w:eastAsia="zh-CN"/>
        </w:rPr>
        <w:t>《高职语文（AI 应用版）》课程资源包与新形态教材一体化建设项目，</w:t>
      </w:r>
      <w:r>
        <w:rPr>
          <w:rFonts w:hint="eastAsia" w:ascii="宋体" w:hAnsi="宋体" w:eastAsia="宋体" w:cs="宋体"/>
          <w:color w:val="auto"/>
          <w:kern w:val="0"/>
          <w:sz w:val="24"/>
          <w:highlight w:val="none"/>
          <w:lang w:val="en-US" w:eastAsia="zh-CN"/>
        </w:rPr>
        <w:t>小写:</w:t>
      </w:r>
      <w:r>
        <w:rPr>
          <w:rFonts w:hint="eastAsia" w:ascii="宋体" w:hAnsi="宋体" w:eastAsia="宋体" w:cs="宋体"/>
          <w:color w:val="auto"/>
          <w:kern w:val="0"/>
          <w:sz w:val="24"/>
          <w:highlight w:val="none"/>
        </w:rPr>
        <w:t>¥</w:t>
      </w:r>
      <w:r>
        <w:rPr>
          <w:rFonts w:hint="eastAsia" w:ascii="宋体" w:hAnsi="宋体" w:eastAsia="宋体" w:cs="宋体"/>
          <w:i w:val="0"/>
          <w:iCs w:val="0"/>
          <w:color w:val="auto"/>
          <w:kern w:val="0"/>
          <w:sz w:val="24"/>
          <w:szCs w:val="24"/>
          <w:highlight w:val="none"/>
          <w:u w:val="none"/>
          <w:lang w:val="en-US" w:eastAsia="zh-CN" w:bidi="ar"/>
        </w:rPr>
        <w:t>500000.00元</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lang w:val="en-US" w:eastAsia="zh-CN"/>
        </w:rPr>
        <w:t>大写：人民币伍拾万元整。</w:t>
      </w:r>
    </w:p>
    <w:p w14:paraId="0E5F8CAA">
      <w:pPr>
        <w:pStyle w:val="15"/>
        <w:keepNext w:val="0"/>
        <w:keepLines w:val="0"/>
        <w:pageBreakBefore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color w:val="auto"/>
          <w:spacing w:val="0"/>
          <w:kern w:val="0"/>
          <w:sz w:val="24"/>
          <w:szCs w:val="24"/>
          <w:highlight w:val="none"/>
          <w:lang w:val="en-US" w:eastAsia="zh-CN" w:bidi="ar-SA"/>
        </w:rPr>
      </w:pPr>
      <w:r>
        <w:rPr>
          <w:rFonts w:hint="eastAsia" w:ascii="宋体" w:hAnsi="宋体" w:eastAsia="宋体" w:cs="宋体"/>
          <w:b w:val="0"/>
          <w:color w:val="auto"/>
          <w:spacing w:val="0"/>
          <w:kern w:val="0"/>
          <w:sz w:val="24"/>
          <w:szCs w:val="24"/>
          <w:highlight w:val="none"/>
          <w:lang w:val="en-US" w:eastAsia="zh-CN" w:bidi="ar-SA"/>
        </w:rPr>
        <w:t>标段5 马克思主义学院红色文化建设项目，小写:¥600000.00元；大写：人民币陆拾万元整。</w:t>
      </w:r>
    </w:p>
    <w:p w14:paraId="2C4DC729">
      <w:pPr>
        <w:widowControl/>
        <w:numPr>
          <w:ilvl w:val="0"/>
          <w:numId w:val="0"/>
        </w:numPr>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szCs w:val="24"/>
          <w:highlight w:val="none"/>
          <w:lang w:val="en-US" w:eastAsia="zh-CN" w:bidi="ar-SA"/>
        </w:rPr>
        <w:t>4.</w:t>
      </w:r>
      <w:r>
        <w:rPr>
          <w:rFonts w:hint="eastAsia" w:ascii="宋体" w:hAnsi="宋体" w:eastAsia="宋体" w:cs="宋体"/>
          <w:color w:val="auto"/>
          <w:kern w:val="0"/>
          <w:sz w:val="24"/>
          <w:highlight w:val="none"/>
        </w:rPr>
        <w:t>采购需求：</w:t>
      </w:r>
    </w:p>
    <w:tbl>
      <w:tblPr>
        <w:tblStyle w:val="42"/>
        <w:tblW w:w="9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6"/>
        <w:gridCol w:w="4004"/>
        <w:gridCol w:w="2205"/>
        <w:gridCol w:w="1279"/>
        <w:gridCol w:w="869"/>
      </w:tblGrid>
      <w:tr w14:paraId="7E502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1" w:hRule="exact"/>
          <w:jc w:val="center"/>
        </w:trPr>
        <w:tc>
          <w:tcPr>
            <w:tcW w:w="886" w:type="dxa"/>
            <w:noWrap w:val="0"/>
            <w:vAlign w:val="center"/>
          </w:tcPr>
          <w:p w14:paraId="129A8BC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Style w:val="45"/>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标段号</w:t>
            </w:r>
          </w:p>
        </w:tc>
        <w:tc>
          <w:tcPr>
            <w:tcW w:w="4004" w:type="dxa"/>
            <w:noWrap w:val="0"/>
            <w:vAlign w:val="center"/>
          </w:tcPr>
          <w:p w14:paraId="44C4DD3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Style w:val="45"/>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标段名称</w:t>
            </w:r>
          </w:p>
        </w:tc>
        <w:tc>
          <w:tcPr>
            <w:tcW w:w="2205" w:type="dxa"/>
            <w:noWrap w:val="0"/>
            <w:vAlign w:val="center"/>
          </w:tcPr>
          <w:p w14:paraId="432AC49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预算金额</w:t>
            </w:r>
          </w:p>
          <w:p w14:paraId="1285127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Style w:val="45"/>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（最高限价）/元</w:t>
            </w:r>
          </w:p>
        </w:tc>
        <w:tc>
          <w:tcPr>
            <w:tcW w:w="1279" w:type="dxa"/>
            <w:noWrap w:val="0"/>
            <w:vAlign w:val="center"/>
          </w:tcPr>
          <w:p w14:paraId="3D968A5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是否接受进口产品</w:t>
            </w:r>
          </w:p>
        </w:tc>
        <w:tc>
          <w:tcPr>
            <w:tcW w:w="869" w:type="dxa"/>
            <w:noWrap w:val="0"/>
            <w:vAlign w:val="center"/>
          </w:tcPr>
          <w:p w14:paraId="779A117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color w:val="auto"/>
                <w:kern w:val="2"/>
                <w:sz w:val="24"/>
                <w:szCs w:val="24"/>
                <w:highlight w:val="none"/>
                <w:lang w:val="en-US" w:eastAsia="zh-CN" w:bidi="ar-SA"/>
              </w:rPr>
            </w:pPr>
            <w:r>
              <w:rPr>
                <w:rFonts w:hint="eastAsia" w:ascii="宋体" w:hAnsi="宋体" w:cs="宋体"/>
                <w:b/>
                <w:color w:val="auto"/>
                <w:kern w:val="2"/>
                <w:sz w:val="24"/>
                <w:szCs w:val="24"/>
                <w:highlight w:val="none"/>
                <w:lang w:val="en-US" w:eastAsia="zh-CN" w:bidi="ar-SA"/>
              </w:rPr>
              <w:t>备注</w:t>
            </w:r>
          </w:p>
        </w:tc>
      </w:tr>
      <w:tr w14:paraId="25645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886" w:type="dxa"/>
            <w:noWrap w:val="0"/>
            <w:vAlign w:val="center"/>
          </w:tcPr>
          <w:p w14:paraId="6D34A716">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Style w:val="45"/>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0"/>
                <w:sz w:val="24"/>
                <w:szCs w:val="24"/>
                <w:highlight w:val="none"/>
                <w:lang w:val="en-US" w:eastAsia="zh-CN"/>
              </w:rPr>
              <w:t>1</w:t>
            </w:r>
          </w:p>
        </w:tc>
        <w:tc>
          <w:tcPr>
            <w:tcW w:w="4004" w:type="dxa"/>
            <w:noWrap w:val="0"/>
            <w:vAlign w:val="center"/>
          </w:tcPr>
          <w:p w14:paraId="169C693A">
            <w:pPr>
              <w:keepNext w:val="0"/>
              <w:keepLines w:val="0"/>
              <w:widowControl/>
              <w:suppressLineNumbers w:val="0"/>
              <w:spacing w:line="360" w:lineRule="auto"/>
              <w:jc w:val="center"/>
              <w:textAlignment w:val="center"/>
              <w:rPr>
                <w:rStyle w:val="45"/>
                <w:rFonts w:hint="eastAsia" w:ascii="宋体" w:hAnsi="宋体" w:eastAsia="宋体" w:cs="宋体"/>
                <w:color w:val="auto"/>
                <w:kern w:val="2"/>
                <w:sz w:val="24"/>
                <w:szCs w:val="24"/>
                <w:highlight w:val="none"/>
                <w:lang w:val="en-US" w:eastAsia="zh-CN" w:bidi="ar-SA"/>
              </w:rPr>
            </w:pPr>
            <w:r>
              <w:rPr>
                <w:rFonts w:hint="eastAsia" w:ascii="宋体" w:hAnsi="宋体" w:cs="宋体"/>
                <w:color w:val="auto"/>
                <w:kern w:val="0"/>
                <w:sz w:val="24"/>
                <w:highlight w:val="none"/>
                <w:lang w:eastAsia="zh-CN"/>
              </w:rPr>
              <w:t>图书采购（图书配套设施设备）项目</w:t>
            </w:r>
          </w:p>
        </w:tc>
        <w:tc>
          <w:tcPr>
            <w:tcW w:w="2205" w:type="dxa"/>
            <w:noWrap w:val="0"/>
            <w:vAlign w:val="center"/>
          </w:tcPr>
          <w:p w14:paraId="78AEDADE">
            <w:pPr>
              <w:keepNext w:val="0"/>
              <w:keepLines w:val="0"/>
              <w:widowControl/>
              <w:suppressLineNumbers w:val="0"/>
              <w:jc w:val="center"/>
              <w:textAlignment w:val="center"/>
              <w:rPr>
                <w:rStyle w:val="45"/>
                <w:rFonts w:hint="eastAsia" w:ascii="宋体" w:hAnsi="宋体" w:eastAsia="宋体" w:cs="宋体"/>
                <w:color w:val="auto"/>
                <w:kern w:val="2"/>
                <w:sz w:val="24"/>
                <w:szCs w:val="24"/>
                <w:highlight w:val="none"/>
                <w:lang w:val="en-US" w:eastAsia="zh-CN" w:bidi="ar-SA"/>
              </w:rPr>
            </w:pPr>
            <w:r>
              <w:rPr>
                <w:rFonts w:hint="eastAsia" w:ascii="宋体" w:hAnsi="宋体" w:eastAsia="宋体" w:cs="宋体"/>
                <w:b w:val="0"/>
                <w:bCs w:val="0"/>
                <w:color w:val="auto"/>
                <w:sz w:val="24"/>
                <w:szCs w:val="24"/>
                <w:highlight w:val="none"/>
                <w:vertAlign w:val="baseline"/>
                <w:lang w:val="en-US" w:eastAsia="zh-CN"/>
              </w:rPr>
              <w:t>306600.00</w:t>
            </w:r>
          </w:p>
        </w:tc>
        <w:tc>
          <w:tcPr>
            <w:tcW w:w="1279" w:type="dxa"/>
            <w:noWrap w:val="0"/>
            <w:vAlign w:val="center"/>
          </w:tcPr>
          <w:p w14:paraId="4475498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否</w:t>
            </w:r>
          </w:p>
        </w:tc>
        <w:tc>
          <w:tcPr>
            <w:tcW w:w="869" w:type="dxa"/>
            <w:noWrap w:val="0"/>
            <w:vAlign w:val="center"/>
          </w:tcPr>
          <w:p w14:paraId="6ABA73D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lang w:val="en-US" w:eastAsia="zh-CN" w:bidi="ar"/>
              </w:rPr>
            </w:pPr>
          </w:p>
        </w:tc>
      </w:tr>
      <w:tr w14:paraId="7E4DC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886" w:type="dxa"/>
            <w:noWrap w:val="0"/>
            <w:vAlign w:val="center"/>
          </w:tcPr>
          <w:p w14:paraId="082BB4C4">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Style w:val="45"/>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0"/>
                <w:sz w:val="24"/>
                <w:szCs w:val="24"/>
                <w:highlight w:val="none"/>
                <w:lang w:val="en-US" w:eastAsia="zh-CN"/>
              </w:rPr>
              <w:t>2</w:t>
            </w:r>
          </w:p>
        </w:tc>
        <w:tc>
          <w:tcPr>
            <w:tcW w:w="4004" w:type="dxa"/>
            <w:noWrap w:val="0"/>
            <w:vAlign w:val="center"/>
          </w:tcPr>
          <w:p w14:paraId="30B354AD">
            <w:pPr>
              <w:keepNext w:val="0"/>
              <w:keepLines w:val="0"/>
              <w:widowControl/>
              <w:suppressLineNumbers w:val="0"/>
              <w:spacing w:line="360" w:lineRule="auto"/>
              <w:jc w:val="center"/>
              <w:textAlignment w:val="center"/>
              <w:rPr>
                <w:rStyle w:val="45"/>
                <w:rFonts w:hint="eastAsia" w:ascii="宋体" w:hAnsi="宋体" w:eastAsia="宋体" w:cs="宋体"/>
                <w:color w:val="auto"/>
                <w:kern w:val="2"/>
                <w:sz w:val="24"/>
                <w:szCs w:val="24"/>
                <w:highlight w:val="none"/>
                <w:lang w:val="en-US" w:eastAsia="zh-CN" w:bidi="ar-SA"/>
              </w:rPr>
            </w:pPr>
            <w:r>
              <w:rPr>
                <w:rFonts w:hint="eastAsia" w:ascii="宋体" w:hAnsi="宋体" w:cs="宋体"/>
                <w:color w:val="auto"/>
                <w:kern w:val="0"/>
                <w:sz w:val="24"/>
                <w:highlight w:val="none"/>
                <w:lang w:eastAsia="zh-CN"/>
              </w:rPr>
              <w:t>图书采购（图书）项目</w:t>
            </w:r>
          </w:p>
        </w:tc>
        <w:tc>
          <w:tcPr>
            <w:tcW w:w="2205" w:type="dxa"/>
            <w:noWrap w:val="0"/>
            <w:vAlign w:val="center"/>
          </w:tcPr>
          <w:p w14:paraId="21F9BA51">
            <w:pPr>
              <w:keepNext w:val="0"/>
              <w:keepLines w:val="0"/>
              <w:widowControl/>
              <w:suppressLineNumbers w:val="0"/>
              <w:jc w:val="center"/>
              <w:textAlignment w:val="center"/>
              <w:rPr>
                <w:rStyle w:val="45"/>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0"/>
                <w:sz w:val="24"/>
                <w:highlight w:val="none"/>
                <w:lang w:val="en-US" w:eastAsia="zh-CN"/>
              </w:rPr>
              <w:t>1400000</w:t>
            </w:r>
            <w:r>
              <w:rPr>
                <w:rFonts w:hint="eastAsia" w:ascii="宋体" w:hAnsi="宋体" w:eastAsia="宋体" w:cs="宋体"/>
                <w:i w:val="0"/>
                <w:iCs w:val="0"/>
                <w:color w:val="auto"/>
                <w:kern w:val="0"/>
                <w:sz w:val="24"/>
                <w:szCs w:val="24"/>
                <w:highlight w:val="none"/>
                <w:u w:val="none"/>
                <w:lang w:val="en-US" w:eastAsia="zh-CN" w:bidi="ar"/>
              </w:rPr>
              <w:t>.00</w:t>
            </w:r>
          </w:p>
        </w:tc>
        <w:tc>
          <w:tcPr>
            <w:tcW w:w="1279" w:type="dxa"/>
            <w:noWrap w:val="0"/>
            <w:vAlign w:val="center"/>
          </w:tcPr>
          <w:p w14:paraId="5D3CA7A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w:t>
            </w:r>
          </w:p>
        </w:tc>
        <w:tc>
          <w:tcPr>
            <w:tcW w:w="869" w:type="dxa"/>
            <w:noWrap w:val="0"/>
            <w:vAlign w:val="center"/>
          </w:tcPr>
          <w:p w14:paraId="23C3B806">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lang w:val="en-US" w:eastAsia="zh-CN" w:bidi="ar"/>
              </w:rPr>
            </w:pPr>
          </w:p>
        </w:tc>
      </w:tr>
      <w:tr w14:paraId="2A140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886" w:type="dxa"/>
            <w:noWrap w:val="0"/>
            <w:vAlign w:val="center"/>
          </w:tcPr>
          <w:p w14:paraId="66B8C091">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w:t>
            </w:r>
          </w:p>
        </w:tc>
        <w:tc>
          <w:tcPr>
            <w:tcW w:w="4004" w:type="dxa"/>
            <w:noWrap w:val="0"/>
            <w:vAlign w:val="center"/>
          </w:tcPr>
          <w:p w14:paraId="04C3E273">
            <w:pPr>
              <w:keepNext w:val="0"/>
              <w:keepLines w:val="0"/>
              <w:widowControl/>
              <w:suppressLineNumbers w:val="0"/>
              <w:spacing w:line="360" w:lineRule="auto"/>
              <w:jc w:val="center"/>
              <w:textAlignment w:val="center"/>
              <w:rPr>
                <w:rFonts w:hint="eastAsia" w:ascii="宋体" w:hAnsi="宋体" w:eastAsia="宋体" w:cs="宋体"/>
                <w:color w:val="auto"/>
                <w:kern w:val="0"/>
                <w:sz w:val="24"/>
                <w:szCs w:val="24"/>
                <w:highlight w:val="none"/>
                <w:lang w:val="en-US"/>
              </w:rPr>
            </w:pPr>
            <w:r>
              <w:rPr>
                <w:rFonts w:hint="eastAsia" w:ascii="宋体" w:hAnsi="宋体" w:eastAsia="宋体" w:cs="宋体"/>
                <w:color w:val="auto"/>
                <w:kern w:val="0"/>
                <w:sz w:val="24"/>
                <w:highlight w:val="none"/>
                <w:lang w:eastAsia="zh-CN"/>
              </w:rPr>
              <w:t>国产办公软件正版化授权采购项目</w:t>
            </w:r>
          </w:p>
        </w:tc>
        <w:tc>
          <w:tcPr>
            <w:tcW w:w="2205" w:type="dxa"/>
            <w:noWrap w:val="0"/>
            <w:vAlign w:val="center"/>
          </w:tcPr>
          <w:p w14:paraId="5A5D68A4">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b w:val="0"/>
                <w:bCs w:val="0"/>
                <w:color w:val="auto"/>
                <w:sz w:val="24"/>
                <w:szCs w:val="24"/>
                <w:highlight w:val="none"/>
                <w:vertAlign w:val="baseline"/>
                <w:lang w:val="en-US" w:eastAsia="zh-CN"/>
              </w:rPr>
              <w:t>750000.00</w:t>
            </w:r>
          </w:p>
        </w:tc>
        <w:tc>
          <w:tcPr>
            <w:tcW w:w="1279" w:type="dxa"/>
            <w:noWrap w:val="0"/>
            <w:vAlign w:val="center"/>
          </w:tcPr>
          <w:p w14:paraId="1F9AE23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w:t>
            </w:r>
          </w:p>
        </w:tc>
        <w:tc>
          <w:tcPr>
            <w:tcW w:w="869" w:type="dxa"/>
            <w:noWrap w:val="0"/>
            <w:vAlign w:val="center"/>
          </w:tcPr>
          <w:p w14:paraId="57D4DFC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lang w:val="en-US" w:eastAsia="zh-CN" w:bidi="ar"/>
              </w:rPr>
            </w:pPr>
          </w:p>
        </w:tc>
      </w:tr>
      <w:tr w14:paraId="13967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886" w:type="dxa"/>
            <w:noWrap w:val="0"/>
            <w:vAlign w:val="center"/>
          </w:tcPr>
          <w:p w14:paraId="3CEB10BE">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4</w:t>
            </w:r>
          </w:p>
        </w:tc>
        <w:tc>
          <w:tcPr>
            <w:tcW w:w="4004" w:type="dxa"/>
            <w:noWrap w:val="0"/>
            <w:vAlign w:val="center"/>
          </w:tcPr>
          <w:p w14:paraId="0C02C16D">
            <w:pPr>
              <w:keepNext w:val="0"/>
              <w:keepLines w:val="0"/>
              <w:widowControl/>
              <w:suppressLineNumbers w:val="0"/>
              <w:spacing w:line="360" w:lineRule="auto"/>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highlight w:val="none"/>
                <w:lang w:eastAsia="zh-CN"/>
              </w:rPr>
              <w:t>《高职语文（AI 应用版）》课程资源包与新形态教材一体化建设项目</w:t>
            </w:r>
          </w:p>
        </w:tc>
        <w:tc>
          <w:tcPr>
            <w:tcW w:w="2205" w:type="dxa"/>
            <w:noWrap w:val="0"/>
            <w:vAlign w:val="center"/>
          </w:tcPr>
          <w:p w14:paraId="4C4F17EA">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500000.00</w:t>
            </w:r>
          </w:p>
        </w:tc>
        <w:tc>
          <w:tcPr>
            <w:tcW w:w="1279" w:type="dxa"/>
            <w:noWrap w:val="0"/>
            <w:vAlign w:val="center"/>
          </w:tcPr>
          <w:p w14:paraId="68A151B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w:t>
            </w:r>
          </w:p>
        </w:tc>
        <w:tc>
          <w:tcPr>
            <w:tcW w:w="869" w:type="dxa"/>
            <w:noWrap w:val="0"/>
            <w:vAlign w:val="center"/>
          </w:tcPr>
          <w:p w14:paraId="0DF7D36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lang w:val="en-US" w:eastAsia="zh-CN" w:bidi="ar"/>
              </w:rPr>
            </w:pPr>
          </w:p>
        </w:tc>
      </w:tr>
      <w:tr w14:paraId="0750C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jc w:val="center"/>
        </w:trPr>
        <w:tc>
          <w:tcPr>
            <w:tcW w:w="886" w:type="dxa"/>
            <w:noWrap w:val="0"/>
            <w:vAlign w:val="center"/>
          </w:tcPr>
          <w:p w14:paraId="0D8BC2AC">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5</w:t>
            </w:r>
          </w:p>
        </w:tc>
        <w:tc>
          <w:tcPr>
            <w:tcW w:w="4004" w:type="dxa"/>
            <w:noWrap w:val="0"/>
            <w:vAlign w:val="center"/>
          </w:tcPr>
          <w:p w14:paraId="294E3A88">
            <w:pPr>
              <w:keepNext w:val="0"/>
              <w:keepLines w:val="0"/>
              <w:widowControl/>
              <w:suppressLineNumbers w:val="0"/>
              <w:spacing w:line="360" w:lineRule="auto"/>
              <w:jc w:val="center"/>
              <w:textAlignment w:val="center"/>
              <w:rPr>
                <w:rFonts w:hint="eastAsia" w:ascii="宋体" w:hAnsi="宋体" w:eastAsia="宋体" w:cs="宋体"/>
                <w:color w:val="auto"/>
                <w:kern w:val="0"/>
                <w:sz w:val="24"/>
                <w:szCs w:val="24"/>
                <w:highlight w:val="none"/>
                <w:lang w:val="en-US"/>
              </w:rPr>
            </w:pPr>
            <w:r>
              <w:rPr>
                <w:rFonts w:hint="eastAsia" w:ascii="宋体" w:hAnsi="宋体" w:eastAsia="宋体" w:cs="宋体"/>
                <w:b w:val="0"/>
                <w:color w:val="auto"/>
                <w:spacing w:val="0"/>
                <w:kern w:val="0"/>
                <w:sz w:val="24"/>
                <w:szCs w:val="24"/>
                <w:highlight w:val="none"/>
                <w:lang w:val="en-US" w:eastAsia="zh-CN" w:bidi="ar-SA"/>
              </w:rPr>
              <w:t>马克思主义学院红色文化建设项目</w:t>
            </w:r>
          </w:p>
        </w:tc>
        <w:tc>
          <w:tcPr>
            <w:tcW w:w="2205" w:type="dxa"/>
            <w:noWrap w:val="0"/>
            <w:vAlign w:val="center"/>
          </w:tcPr>
          <w:p w14:paraId="46FC3C91">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b w:val="0"/>
                <w:color w:val="auto"/>
                <w:spacing w:val="0"/>
                <w:kern w:val="0"/>
                <w:sz w:val="24"/>
                <w:szCs w:val="24"/>
                <w:highlight w:val="none"/>
                <w:lang w:val="en-US" w:eastAsia="zh-CN" w:bidi="ar-SA"/>
              </w:rPr>
              <w:t>600000.00</w:t>
            </w:r>
          </w:p>
        </w:tc>
        <w:tc>
          <w:tcPr>
            <w:tcW w:w="1279" w:type="dxa"/>
            <w:noWrap w:val="0"/>
            <w:vAlign w:val="center"/>
          </w:tcPr>
          <w:p w14:paraId="6AF369EC">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w:t>
            </w:r>
          </w:p>
        </w:tc>
        <w:tc>
          <w:tcPr>
            <w:tcW w:w="869" w:type="dxa"/>
            <w:noWrap w:val="0"/>
            <w:vAlign w:val="center"/>
          </w:tcPr>
          <w:p w14:paraId="57307E3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lang w:val="en-US" w:eastAsia="zh-CN" w:bidi="ar"/>
              </w:rPr>
            </w:pPr>
          </w:p>
        </w:tc>
      </w:tr>
      <w:tr w14:paraId="2C6AB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4890" w:type="dxa"/>
            <w:gridSpan w:val="2"/>
            <w:noWrap w:val="0"/>
            <w:vAlign w:val="center"/>
          </w:tcPr>
          <w:p w14:paraId="51F3C4F2">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合计：</w:t>
            </w:r>
          </w:p>
        </w:tc>
        <w:tc>
          <w:tcPr>
            <w:tcW w:w="2205" w:type="dxa"/>
            <w:noWrap w:val="0"/>
            <w:vAlign w:val="center"/>
          </w:tcPr>
          <w:p w14:paraId="0E542452">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color w:val="auto"/>
                <w:kern w:val="0"/>
                <w:sz w:val="24"/>
                <w:highlight w:val="none"/>
                <w:lang w:val="en-US" w:eastAsia="zh-CN"/>
              </w:rPr>
              <w:t>355</w:t>
            </w:r>
            <w:r>
              <w:rPr>
                <w:rFonts w:hint="eastAsia" w:ascii="宋体" w:hAnsi="宋体" w:cs="宋体"/>
                <w:color w:val="auto"/>
                <w:kern w:val="0"/>
                <w:sz w:val="24"/>
                <w:highlight w:val="none"/>
                <w:lang w:val="en-US" w:eastAsia="zh-CN"/>
              </w:rPr>
              <w:t>66</w:t>
            </w:r>
            <w:r>
              <w:rPr>
                <w:rFonts w:hint="eastAsia" w:ascii="宋体" w:hAnsi="宋体" w:eastAsia="宋体" w:cs="宋体"/>
                <w:color w:val="auto"/>
                <w:kern w:val="0"/>
                <w:sz w:val="24"/>
                <w:highlight w:val="none"/>
                <w:lang w:val="en-US" w:eastAsia="zh-CN"/>
              </w:rPr>
              <w:t>00.00</w:t>
            </w:r>
          </w:p>
        </w:tc>
        <w:tc>
          <w:tcPr>
            <w:tcW w:w="1279" w:type="dxa"/>
            <w:noWrap w:val="0"/>
            <w:vAlign w:val="center"/>
          </w:tcPr>
          <w:p w14:paraId="2609DD53">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lang w:val="en-US" w:eastAsia="zh-CN" w:bidi="ar"/>
              </w:rPr>
            </w:pPr>
          </w:p>
        </w:tc>
        <w:tc>
          <w:tcPr>
            <w:tcW w:w="869" w:type="dxa"/>
            <w:noWrap w:val="0"/>
            <w:vAlign w:val="center"/>
          </w:tcPr>
          <w:p w14:paraId="5932824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lang w:val="en-US" w:eastAsia="zh-CN" w:bidi="ar"/>
              </w:rPr>
            </w:pPr>
          </w:p>
        </w:tc>
      </w:tr>
      <w:tr w14:paraId="743D7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jc w:val="center"/>
        </w:trPr>
        <w:tc>
          <w:tcPr>
            <w:tcW w:w="9243" w:type="dxa"/>
            <w:gridSpan w:val="5"/>
            <w:noWrap w:val="0"/>
            <w:vAlign w:val="center"/>
          </w:tcPr>
          <w:p w14:paraId="35B99596">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备注：（1）本项目所包含设备不接受进口产品投标（进口产品是指通过中国海关报关验放进入中国境内且产自关境外的产品）；</w:t>
            </w:r>
          </w:p>
          <w:p w14:paraId="6A67BB89">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（2）标包划分：本项目分为1、2、3、4、5、五个标段，其中每个标段涉及具体内容、招标采购货物或服务技术要求及相关参数要求详见招标文件第四章“采购需求”。</w:t>
            </w:r>
          </w:p>
          <w:p w14:paraId="2B07294C">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本项目共分为五个标段，投标人可选择其中的一个或多个标段进行投标，且同一个投标人可以同时中取一个或多个标段。投标文件需按标段分别制作、分别投标。投标人须对所投的产品须进行整体投标报价，不得缺项漏项，否则按不响应招标文件实质性要求处理。</w:t>
            </w:r>
          </w:p>
        </w:tc>
      </w:tr>
    </w:tbl>
    <w:p w14:paraId="094BC13A">
      <w:pPr>
        <w:spacing w:line="480" w:lineRule="exact"/>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kern w:val="2"/>
          <w:sz w:val="24"/>
          <w:szCs w:val="21"/>
          <w:highlight w:val="none"/>
          <w:lang w:val="en-US" w:eastAsia="zh-CN" w:bidi="ar-SA"/>
        </w:rPr>
        <w:t>5.</w:t>
      </w:r>
      <w:r>
        <w:rPr>
          <w:rFonts w:hint="eastAsia" w:ascii="宋体" w:hAnsi="宋体" w:eastAsia="宋体" w:cs="宋体"/>
          <w:color w:val="auto"/>
          <w:sz w:val="24"/>
          <w:szCs w:val="21"/>
          <w:highlight w:val="none"/>
        </w:rPr>
        <w:t>合同履行期限：</w:t>
      </w:r>
    </w:p>
    <w:p w14:paraId="1D12D5DE">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标段1</w:t>
      </w:r>
      <w:r>
        <w:rPr>
          <w:rFonts w:hint="eastAsia" w:ascii="宋体" w:hAnsi="宋体" w:eastAsia="宋体" w:cs="宋体"/>
          <w:color w:val="auto"/>
          <w:kern w:val="0"/>
          <w:sz w:val="24"/>
          <w:highlight w:val="none"/>
          <w:lang w:val="en-US" w:eastAsia="zh-CN"/>
        </w:rPr>
        <w:t xml:space="preserve"> </w:t>
      </w:r>
      <w:r>
        <w:rPr>
          <w:rFonts w:hint="eastAsia" w:ascii="宋体" w:hAnsi="宋体" w:cs="宋体"/>
          <w:color w:val="auto"/>
          <w:kern w:val="0"/>
          <w:sz w:val="24"/>
          <w:highlight w:val="none"/>
          <w:lang w:eastAsia="zh-CN"/>
        </w:rPr>
        <w:t>图书采购（图书配套设施设备）项目</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rPr>
        <w:t>合同签订后15个日历天内完成供货和安装调试并交付使用。</w:t>
      </w:r>
    </w:p>
    <w:p w14:paraId="73A4BBBF">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rPr>
        <w:t>标段2</w:t>
      </w:r>
      <w:r>
        <w:rPr>
          <w:rFonts w:hint="eastAsia" w:ascii="宋体" w:hAnsi="宋体" w:eastAsia="宋体" w:cs="宋体"/>
          <w:color w:val="auto"/>
          <w:kern w:val="0"/>
          <w:sz w:val="24"/>
          <w:highlight w:val="none"/>
          <w:lang w:val="en-US" w:eastAsia="zh-CN"/>
        </w:rPr>
        <w:t xml:space="preserve"> </w:t>
      </w:r>
      <w:r>
        <w:rPr>
          <w:rFonts w:hint="eastAsia" w:ascii="宋体" w:hAnsi="宋体" w:cs="宋体"/>
          <w:color w:val="auto"/>
          <w:kern w:val="0"/>
          <w:sz w:val="24"/>
          <w:highlight w:val="none"/>
          <w:lang w:eastAsia="zh-CN"/>
        </w:rPr>
        <w:t>图书采购（图书）项目</w:t>
      </w:r>
      <w:r>
        <w:rPr>
          <w:rFonts w:hint="eastAsia" w:ascii="宋体" w:hAnsi="宋体" w:eastAsia="宋体" w:cs="宋体"/>
          <w:color w:val="auto"/>
          <w:kern w:val="0"/>
          <w:sz w:val="24"/>
          <w:highlight w:val="none"/>
          <w:lang w:eastAsia="zh-CN"/>
        </w:rPr>
        <w:t>：自合同签订之日起7个日历天内完成供货，质保1年；一年内提供配套服务。</w:t>
      </w:r>
    </w:p>
    <w:p w14:paraId="3DB68919">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rPr>
        <w:t>标段3</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国产办公软件正版化授权采购项目</w:t>
      </w:r>
      <w:r>
        <w:rPr>
          <w:rFonts w:hint="eastAsia" w:ascii="宋体" w:hAnsi="宋体" w:eastAsia="宋体" w:cs="宋体"/>
          <w:color w:val="auto"/>
          <w:kern w:val="0"/>
          <w:sz w:val="24"/>
          <w:highlight w:val="none"/>
          <w:lang w:eastAsia="zh-CN"/>
        </w:rPr>
        <w:t>：三年</w:t>
      </w:r>
      <w:r>
        <w:rPr>
          <w:rFonts w:hint="eastAsia" w:ascii="宋体" w:hAnsi="宋体" w:cs="宋体"/>
          <w:color w:val="auto"/>
          <w:kern w:val="0"/>
          <w:sz w:val="24"/>
          <w:highlight w:val="none"/>
          <w:lang w:eastAsia="zh-CN"/>
        </w:rPr>
        <w:t>，</w:t>
      </w:r>
      <w:r>
        <w:rPr>
          <w:rFonts w:hint="eastAsia" w:ascii="宋体" w:hAnsi="宋体" w:eastAsia="宋体" w:cs="宋体"/>
          <w:color w:val="auto"/>
          <w:kern w:val="0"/>
          <w:sz w:val="24"/>
          <w:highlight w:val="none"/>
          <w:lang w:eastAsia="zh-CN"/>
        </w:rPr>
        <w:t>自合同签订之日起至</w:t>
      </w:r>
      <w:r>
        <w:rPr>
          <w:rFonts w:hint="eastAsia" w:ascii="宋体" w:hAnsi="宋体" w:cs="宋体"/>
          <w:color w:val="auto"/>
          <w:kern w:val="0"/>
          <w:sz w:val="24"/>
          <w:highlight w:val="none"/>
          <w:lang w:val="en-US" w:eastAsia="zh-CN"/>
        </w:rPr>
        <w:t>三</w:t>
      </w:r>
      <w:r>
        <w:rPr>
          <w:rFonts w:hint="eastAsia" w:ascii="宋体" w:hAnsi="宋体" w:eastAsia="宋体" w:cs="宋体"/>
          <w:color w:val="auto"/>
          <w:kern w:val="0"/>
          <w:sz w:val="24"/>
          <w:highlight w:val="none"/>
          <w:lang w:eastAsia="zh-CN"/>
        </w:rPr>
        <w:t>年</w:t>
      </w:r>
      <w:r>
        <w:rPr>
          <w:rFonts w:hint="eastAsia" w:ascii="宋体" w:hAnsi="宋体" w:cs="宋体"/>
          <w:color w:val="auto"/>
          <w:kern w:val="0"/>
          <w:sz w:val="24"/>
          <w:highlight w:val="none"/>
          <w:lang w:val="en-US" w:eastAsia="zh-CN"/>
        </w:rPr>
        <w:t>期满</w:t>
      </w:r>
      <w:r>
        <w:rPr>
          <w:rFonts w:hint="eastAsia" w:ascii="宋体" w:hAnsi="宋体" w:eastAsia="宋体" w:cs="宋体"/>
          <w:color w:val="auto"/>
          <w:kern w:val="0"/>
          <w:sz w:val="24"/>
          <w:highlight w:val="none"/>
          <w:lang w:eastAsia="zh-CN"/>
        </w:rPr>
        <w:t>对应之日止。</w:t>
      </w:r>
    </w:p>
    <w:p w14:paraId="5DB89E56">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rPr>
        <w:t>标段4</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lang w:eastAsia="zh-CN"/>
        </w:rPr>
        <w:t>《高职语文（AI 应用版）》课程资源包与新形态教材一体化建设项目：自合同签订之日起90个日历天内完成线上教学平台搭建与视频拍摄，180个日历天内完成教材出版工作。</w:t>
      </w:r>
    </w:p>
    <w:p w14:paraId="5E7E7416">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1"/>
          <w:highlight w:val="none"/>
          <w:lang w:eastAsia="zh-CN"/>
        </w:rPr>
      </w:pPr>
      <w:r>
        <w:rPr>
          <w:rFonts w:hint="eastAsia" w:ascii="宋体" w:hAnsi="宋体" w:eastAsia="宋体" w:cs="宋体"/>
          <w:color w:val="auto"/>
          <w:kern w:val="0"/>
          <w:sz w:val="24"/>
          <w:highlight w:val="none"/>
        </w:rPr>
        <w:t>标段5</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马克思主义学院红色文化建设项目</w:t>
      </w:r>
      <w:r>
        <w:rPr>
          <w:rFonts w:hint="eastAsia" w:ascii="宋体" w:hAnsi="宋体" w:eastAsia="宋体" w:cs="宋体"/>
          <w:color w:val="auto"/>
          <w:kern w:val="0"/>
          <w:sz w:val="24"/>
          <w:highlight w:val="none"/>
          <w:lang w:eastAsia="zh-CN"/>
        </w:rPr>
        <w:t>：自合同签订之日起90个日历天内完成实施</w:t>
      </w:r>
      <w:r>
        <w:rPr>
          <w:rFonts w:hint="eastAsia" w:ascii="宋体" w:hAnsi="宋体" w:eastAsia="宋体" w:cs="宋体"/>
          <w:color w:val="auto"/>
          <w:kern w:val="0"/>
          <w:sz w:val="24"/>
          <w:highlight w:val="none"/>
          <w:lang w:val="en-US" w:eastAsia="zh-CN"/>
        </w:rPr>
        <w:t>并交付使用</w:t>
      </w:r>
      <w:r>
        <w:rPr>
          <w:rFonts w:hint="eastAsia" w:ascii="宋体" w:hAnsi="宋体" w:eastAsia="宋体" w:cs="宋体"/>
          <w:color w:val="auto"/>
          <w:kern w:val="0"/>
          <w:sz w:val="24"/>
          <w:highlight w:val="none"/>
          <w:lang w:eastAsia="zh-CN"/>
        </w:rPr>
        <w:t>。</w:t>
      </w:r>
    </w:p>
    <w:p w14:paraId="3D2AE4EC">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6.本项目（不）接受联合体投标。</w:t>
      </w:r>
    </w:p>
    <w:p w14:paraId="612E3C80">
      <w:pPr>
        <w:keepNext w:val="0"/>
        <w:keepLines w:val="0"/>
        <w:pageBreakBefore w:val="0"/>
        <w:kinsoku/>
        <w:wordWrap/>
        <w:overflowPunct/>
        <w:topLinePunct w:val="0"/>
        <w:autoSpaceDE/>
        <w:autoSpaceDN/>
        <w:bidi w:val="0"/>
        <w:spacing w:line="360" w:lineRule="auto"/>
        <w:textAlignment w:val="auto"/>
        <w:outlineLvl w:val="1"/>
        <w:rPr>
          <w:rFonts w:hint="eastAsia" w:ascii="宋体" w:hAnsi="宋体" w:eastAsia="宋体" w:cs="宋体"/>
          <w:b/>
          <w:bCs/>
          <w:color w:val="auto"/>
          <w:sz w:val="24"/>
          <w:szCs w:val="21"/>
          <w:highlight w:val="none"/>
        </w:rPr>
      </w:pPr>
      <w:bookmarkStart w:id="11" w:name="_Toc17156"/>
      <w:bookmarkStart w:id="12" w:name="_Toc14850"/>
      <w:bookmarkStart w:id="13" w:name="_Toc26997"/>
      <w:bookmarkStart w:id="14" w:name="_Toc24238"/>
      <w:bookmarkStart w:id="15" w:name="_Toc26145"/>
      <w:r>
        <w:rPr>
          <w:rFonts w:hint="eastAsia" w:ascii="宋体" w:hAnsi="宋体" w:eastAsia="宋体" w:cs="宋体"/>
          <w:b/>
          <w:bCs/>
          <w:color w:val="auto"/>
          <w:sz w:val="24"/>
          <w:szCs w:val="21"/>
          <w:highlight w:val="none"/>
        </w:rPr>
        <w:t>二、投标人的资格要求</w:t>
      </w:r>
      <w:bookmarkEnd w:id="11"/>
      <w:bookmarkEnd w:id="12"/>
      <w:bookmarkEnd w:id="13"/>
      <w:bookmarkEnd w:id="14"/>
      <w:bookmarkEnd w:id="15"/>
    </w:p>
    <w:p w14:paraId="4674023C">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（一）满足《中华人民共和国政府采购法》第二十二条规定，提供下列资料：</w:t>
      </w:r>
    </w:p>
    <w:p w14:paraId="6852DC7D">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w:t>
      </w:r>
      <w:r>
        <w:rPr>
          <w:rFonts w:hint="eastAsia" w:ascii="宋体" w:hAnsi="宋体" w:eastAsia="宋体" w:cs="宋体"/>
          <w:color w:val="auto"/>
          <w:sz w:val="24"/>
          <w:szCs w:val="21"/>
          <w:highlight w:val="none"/>
        </w:rPr>
        <w:t>具有独立承担民事责任的能力（提供有效的营业执照或其他组织证明或自然人身份证明）；</w:t>
      </w:r>
    </w:p>
    <w:p w14:paraId="40800E40">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w:t>
      </w:r>
      <w:r>
        <w:rPr>
          <w:rFonts w:hint="eastAsia" w:ascii="宋体" w:hAnsi="宋体" w:eastAsia="宋体" w:cs="宋体"/>
          <w:color w:val="auto"/>
          <w:sz w:val="24"/>
          <w:szCs w:val="21"/>
          <w:highlight w:val="none"/>
        </w:rPr>
        <w:t>具有良好的商业信誉和健全的财务会计制度（提供202</w:t>
      </w:r>
      <w:r>
        <w:rPr>
          <w:rFonts w:hint="eastAsia" w:ascii="宋体" w:hAnsi="宋体" w:eastAsia="宋体" w:cs="宋体"/>
          <w:color w:val="auto"/>
          <w:sz w:val="24"/>
          <w:szCs w:val="21"/>
          <w:highlight w:val="none"/>
          <w:lang w:val="en-US" w:eastAsia="zh-CN"/>
        </w:rPr>
        <w:t>3</w:t>
      </w:r>
      <w:r>
        <w:rPr>
          <w:rFonts w:hint="eastAsia" w:ascii="宋体" w:hAnsi="宋体" w:eastAsia="宋体" w:cs="宋体"/>
          <w:color w:val="auto"/>
          <w:sz w:val="24"/>
          <w:szCs w:val="21"/>
          <w:highlight w:val="none"/>
        </w:rPr>
        <w:t>年至今任意一年的财务报表或经第三方审计的财务报告（包括资产负债表、现金流量表、利润表或损益表及会计报表附注），新成立的提供成立至本项目公告发布前一个月的财务报表或开户银行出具的资信证明或资金存款证明）；</w:t>
      </w:r>
    </w:p>
    <w:p w14:paraId="77B639FF">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w:t>
      </w:r>
      <w:r>
        <w:rPr>
          <w:rFonts w:hint="eastAsia" w:ascii="宋体" w:hAnsi="宋体" w:eastAsia="宋体" w:cs="宋体"/>
          <w:color w:val="auto"/>
          <w:sz w:val="24"/>
          <w:szCs w:val="21"/>
          <w:highlight w:val="none"/>
        </w:rPr>
        <w:t>具有履行合同所必需的设备和专业技术能力（提供相关证明材料或承诺）；</w:t>
      </w:r>
    </w:p>
    <w:p w14:paraId="31F4B604">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4.</w:t>
      </w:r>
      <w:r>
        <w:rPr>
          <w:rFonts w:hint="eastAsia" w:ascii="宋体" w:hAnsi="宋体" w:eastAsia="宋体" w:cs="宋体"/>
          <w:color w:val="auto"/>
          <w:sz w:val="24"/>
          <w:szCs w:val="21"/>
          <w:highlight w:val="none"/>
        </w:rPr>
        <w:t>有依法缴纳税收和社会保障资金的良好记录（提供202</w:t>
      </w:r>
      <w:r>
        <w:rPr>
          <w:rFonts w:hint="eastAsia" w:ascii="宋体" w:hAnsi="宋体" w:eastAsia="宋体" w:cs="宋体"/>
          <w:color w:val="auto"/>
          <w:sz w:val="24"/>
          <w:szCs w:val="21"/>
          <w:highlight w:val="none"/>
          <w:lang w:val="en-US" w:eastAsia="zh-CN"/>
        </w:rPr>
        <w:t>5</w:t>
      </w:r>
      <w:r>
        <w:rPr>
          <w:rFonts w:hint="eastAsia" w:ascii="宋体" w:hAnsi="宋体" w:eastAsia="宋体" w:cs="宋体"/>
          <w:color w:val="auto"/>
          <w:sz w:val="24"/>
          <w:szCs w:val="21"/>
          <w:highlight w:val="none"/>
        </w:rPr>
        <w:t>年6月至采购截止时间前任意3个月依法缴纳税收和缴纳社会保障资金的证明（新成立公司提供已有资料，如依法免税或不需要缴纳社会保障资金的，应提供相应文件证明）；</w:t>
      </w:r>
    </w:p>
    <w:p w14:paraId="071EB30B">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5.</w:t>
      </w:r>
      <w:r>
        <w:rPr>
          <w:rFonts w:hint="eastAsia" w:ascii="宋体" w:hAnsi="宋体" w:eastAsia="宋体" w:cs="宋体"/>
          <w:color w:val="auto"/>
          <w:sz w:val="24"/>
          <w:szCs w:val="21"/>
          <w:highlight w:val="none"/>
        </w:rPr>
        <w:t>参加政府采购活动前三年内，在经营活动中没有重大违法记录（提供书面声明）；</w:t>
      </w:r>
    </w:p>
    <w:p w14:paraId="458549E3">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6.法律、行政法规规定的其他条件。</w:t>
      </w:r>
    </w:p>
    <w:p w14:paraId="2D228FDC">
      <w:pPr>
        <w:keepNext w:val="0"/>
        <w:keepLines w:val="0"/>
        <w:pageBreakBefore w:val="0"/>
        <w:kinsoku/>
        <w:wordWrap/>
        <w:overflowPunct/>
        <w:topLinePunct w:val="0"/>
        <w:autoSpaceDE/>
        <w:autoSpaceDN/>
        <w:bidi w:val="0"/>
        <w:spacing w:line="360" w:lineRule="auto"/>
        <w:ind w:firstLine="720" w:firstLineChars="3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单位负责人为同一人或者存在直接控股、管理关系的不同投标人，不得参加同一合同项下的政府采购活动。为采购项目提供整体设计、规范编制或者项目管理、监理、检测等服务的投标人，不得再参加该采购项目的其他采购活动。</w:t>
      </w:r>
    </w:p>
    <w:p w14:paraId="2302B66F">
      <w:pPr>
        <w:keepNext w:val="0"/>
        <w:keepLines w:val="0"/>
        <w:pageBreakBefore w:val="0"/>
        <w:kinsoku/>
        <w:wordWrap/>
        <w:overflowPunct/>
        <w:topLinePunct w:val="0"/>
        <w:autoSpaceDE/>
        <w:autoSpaceDN/>
        <w:bidi w:val="0"/>
        <w:adjustRightInd w:val="0"/>
        <w:snapToGrid w:val="0"/>
        <w:spacing w:line="360" w:lineRule="auto"/>
        <w:ind w:firstLine="720" w:firstLineChars="300"/>
        <w:textAlignment w:val="auto"/>
        <w:rPr>
          <w:rFonts w:hint="eastAsia" w:ascii="宋体" w:hAnsi="宋体" w:eastAsia="宋体" w:cs="宋体"/>
          <w:color w:val="auto"/>
          <w:sz w:val="24"/>
          <w:szCs w:val="21"/>
          <w:highlight w:val="none"/>
        </w:rPr>
      </w:pPr>
      <w:r>
        <w:rPr>
          <w:rFonts w:hint="eastAsia" w:ascii="宋体" w:hAnsi="宋体" w:eastAsia="宋体" w:cs="宋体"/>
          <w:color w:val="auto"/>
          <w:kern w:val="0"/>
          <w:sz w:val="24"/>
          <w:highlight w:val="none"/>
        </w:rPr>
        <w:t>（2）</w:t>
      </w:r>
      <w:r>
        <w:rPr>
          <w:rFonts w:hint="eastAsia" w:ascii="宋体" w:hAnsi="宋体" w:eastAsia="宋体" w:cs="宋体"/>
          <w:color w:val="auto"/>
          <w:sz w:val="24"/>
          <w:szCs w:val="21"/>
          <w:highlight w:val="none"/>
        </w:rPr>
        <w:t>投标人不得被“信用中国”网站（www.creditchina.gov.cn）列入失信被执行人或重大税收违法案件当事人名单、不得为“中国政府采购网”（www.ccgp.gov.cn）政府采购严重违法失信行为记录名单中被财政部门禁止参加政府采购活动的投标人（处罚决定规定的时间和地域范围内）（信誉查询时间截点：本项目采购公告发布之日起至投标文件递交截止时间止。代理机构在投标文件递交截止时间止对潜在投标人信誉情况进行查询，并交由评标委员会进行复核评审）。</w:t>
      </w:r>
    </w:p>
    <w:p w14:paraId="62ED0001">
      <w:pPr>
        <w:keepNext w:val="0"/>
        <w:keepLines w:val="0"/>
        <w:pageBreakBefore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（二）落实政府采购政策需满足的资格要求：</w:t>
      </w:r>
    </w:p>
    <w:p w14:paraId="56D176E1">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highlight w:val="none"/>
          <w:u w:val="single"/>
          <w:lang w:val="en-US" w:eastAsia="zh-CN"/>
        </w:rPr>
      </w:pPr>
      <w:r>
        <w:rPr>
          <w:rFonts w:hint="eastAsia" w:ascii="宋体" w:hAnsi="宋体" w:eastAsia="宋体" w:cs="宋体"/>
          <w:color w:val="auto"/>
          <w:sz w:val="24"/>
          <w:highlight w:val="none"/>
          <w:lang w:val="en-US" w:eastAsia="zh-CN"/>
        </w:rPr>
        <w:t>本项目专门面向中小型企业采购，投标人应为中小企业，或监狱企业，或残疾人福利性单位，本项目不再执行价格评审优惠的扶持政策。根据《关于印发中小企业划型标准规定的通知》（工信部联企业〔2011〕300号）文件规定的划分标准，本项目对应的中小企业划分标准所属行业为：</w:t>
      </w:r>
      <w:r>
        <w:rPr>
          <w:rFonts w:hint="eastAsia" w:ascii="宋体" w:hAnsi="宋体" w:eastAsia="宋体" w:cs="宋体"/>
          <w:color w:val="auto"/>
          <w:sz w:val="24"/>
          <w:highlight w:val="none"/>
          <w:u w:val="single"/>
          <w:lang w:val="en-US" w:eastAsia="zh-CN"/>
        </w:rPr>
        <w:t>标段1：工业；标段2：批发业；标段3、4、5：软件和信息技术服务业。</w:t>
      </w:r>
    </w:p>
    <w:p w14:paraId="4D5C8DA3">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（三）本项目特定资格要求：</w:t>
      </w:r>
    </w:p>
    <w:p w14:paraId="14E5573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1"/>
          <w:highlight w:val="none"/>
        </w:rPr>
      </w:pPr>
      <w:r>
        <w:rPr>
          <w:rFonts w:hint="eastAsia" w:ascii="宋体" w:hAnsi="宋体" w:eastAsia="宋体" w:cs="宋体"/>
          <w:b w:val="0"/>
          <w:bCs w:val="0"/>
          <w:color w:val="auto"/>
          <w:sz w:val="24"/>
          <w:szCs w:val="21"/>
          <w:highlight w:val="none"/>
        </w:rPr>
        <w:t>标段2</w:t>
      </w:r>
      <w:r>
        <w:rPr>
          <w:rFonts w:hint="eastAsia" w:ascii="宋体" w:hAnsi="宋体" w:eastAsia="宋体" w:cs="宋体"/>
          <w:b w:val="0"/>
          <w:bCs w:val="0"/>
          <w:color w:val="auto"/>
          <w:sz w:val="24"/>
          <w:szCs w:val="21"/>
          <w:highlight w:val="none"/>
          <w:lang w:val="en-US" w:eastAsia="zh-CN"/>
        </w:rPr>
        <w:t xml:space="preserve"> </w:t>
      </w:r>
      <w:r>
        <w:rPr>
          <w:rFonts w:hint="eastAsia" w:ascii="宋体" w:hAnsi="宋体" w:cs="宋体"/>
          <w:b w:val="0"/>
          <w:bCs w:val="0"/>
          <w:color w:val="auto"/>
          <w:sz w:val="24"/>
          <w:szCs w:val="21"/>
          <w:highlight w:val="none"/>
          <w:lang w:eastAsia="zh-CN"/>
        </w:rPr>
        <w:t>图书采购（图书）项目</w:t>
      </w:r>
      <w:r>
        <w:rPr>
          <w:rFonts w:hint="eastAsia" w:ascii="宋体" w:hAnsi="宋体" w:eastAsia="宋体" w:cs="宋体"/>
          <w:b w:val="0"/>
          <w:bCs w:val="0"/>
          <w:color w:val="auto"/>
          <w:sz w:val="24"/>
          <w:szCs w:val="21"/>
          <w:highlight w:val="none"/>
        </w:rPr>
        <w:t>：</w:t>
      </w:r>
      <w:r>
        <w:rPr>
          <w:rFonts w:hint="eastAsia" w:ascii="宋体" w:hAnsi="宋体" w:eastAsia="宋体" w:cs="宋体"/>
          <w:b w:val="0"/>
          <w:bCs w:val="0"/>
          <w:color w:val="auto"/>
          <w:sz w:val="24"/>
          <w:szCs w:val="21"/>
          <w:highlight w:val="none"/>
          <w:lang w:eastAsia="zh-CN"/>
        </w:rPr>
        <w:t>投标人</w:t>
      </w:r>
      <w:r>
        <w:rPr>
          <w:rFonts w:hint="eastAsia" w:ascii="宋体" w:hAnsi="宋体" w:eastAsia="宋体" w:cs="宋体"/>
          <w:b w:val="0"/>
          <w:bCs w:val="0"/>
          <w:color w:val="auto"/>
          <w:sz w:val="24"/>
          <w:szCs w:val="21"/>
          <w:highlight w:val="none"/>
        </w:rPr>
        <w:t>须具有有效期内《中华人民共和国出版物发行证》或《中华人民共和国出版物经营许可证》，所经销的图书和出版物均为国家正式出版物。</w:t>
      </w:r>
    </w:p>
    <w:p w14:paraId="06EEEC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1"/>
          <w:highlight w:val="none"/>
          <w:lang w:val="en-US" w:eastAsia="zh-CN"/>
        </w:rPr>
      </w:pPr>
      <w:r>
        <w:rPr>
          <w:rFonts w:hint="eastAsia" w:ascii="宋体" w:hAnsi="宋体" w:eastAsia="宋体" w:cs="宋体"/>
          <w:b w:val="0"/>
          <w:bCs w:val="0"/>
          <w:color w:val="auto"/>
          <w:sz w:val="24"/>
          <w:szCs w:val="21"/>
          <w:highlight w:val="none"/>
          <w:lang w:val="en-US" w:eastAsia="zh-CN"/>
        </w:rPr>
        <w:t>其他标段：无</w:t>
      </w:r>
    </w:p>
    <w:p w14:paraId="41AAC8BF">
      <w:pPr>
        <w:keepNext w:val="0"/>
        <w:keepLines w:val="0"/>
        <w:pageBreakBefore w:val="0"/>
        <w:kinsoku/>
        <w:wordWrap/>
        <w:overflowPunct/>
        <w:topLinePunct w:val="0"/>
        <w:autoSpaceDE/>
        <w:autoSpaceDN/>
        <w:bidi w:val="0"/>
        <w:spacing w:line="360" w:lineRule="auto"/>
        <w:textAlignment w:val="auto"/>
        <w:outlineLvl w:val="1"/>
        <w:rPr>
          <w:rFonts w:hint="eastAsia" w:ascii="宋体" w:hAnsi="宋体" w:eastAsia="宋体" w:cs="宋体"/>
          <w:b/>
          <w:bCs/>
          <w:color w:val="auto"/>
          <w:sz w:val="24"/>
          <w:szCs w:val="21"/>
          <w:highlight w:val="none"/>
        </w:rPr>
      </w:pPr>
      <w:bookmarkStart w:id="16" w:name="_Toc8228"/>
      <w:bookmarkStart w:id="17" w:name="_Toc14914"/>
      <w:bookmarkStart w:id="18" w:name="_Toc25585"/>
      <w:bookmarkStart w:id="19" w:name="_Toc16358"/>
      <w:bookmarkStart w:id="20" w:name="_Toc14648"/>
      <w:r>
        <w:rPr>
          <w:rFonts w:hint="eastAsia" w:ascii="宋体" w:hAnsi="宋体" w:eastAsia="宋体" w:cs="宋体"/>
          <w:b/>
          <w:bCs/>
          <w:color w:val="auto"/>
          <w:sz w:val="24"/>
          <w:szCs w:val="21"/>
          <w:highlight w:val="none"/>
        </w:rPr>
        <w:t>三、获取招标文件</w:t>
      </w:r>
      <w:bookmarkEnd w:id="16"/>
      <w:bookmarkEnd w:id="17"/>
      <w:bookmarkEnd w:id="18"/>
      <w:bookmarkEnd w:id="19"/>
      <w:bookmarkEnd w:id="20"/>
    </w:p>
    <w:p w14:paraId="10FB6601">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szCs w:val="21"/>
          <w:highlight w:val="none"/>
        </w:rPr>
      </w:pPr>
      <w:bookmarkStart w:id="21" w:name="_Toc28359082"/>
      <w:r>
        <w:rPr>
          <w:rFonts w:hint="eastAsia" w:ascii="宋体" w:hAnsi="宋体" w:eastAsia="宋体" w:cs="宋体"/>
          <w:b/>
          <w:bCs/>
          <w:color w:val="auto"/>
          <w:sz w:val="24"/>
          <w:highlight w:val="none"/>
        </w:rPr>
        <w:t>1.时间：202</w:t>
      </w:r>
      <w:r>
        <w:rPr>
          <w:rFonts w:hint="eastAsia" w:ascii="宋体" w:hAnsi="宋体" w:eastAsia="宋体" w:cs="宋体"/>
          <w:b/>
          <w:bCs/>
          <w:color w:val="auto"/>
          <w:sz w:val="24"/>
          <w:highlight w:val="none"/>
          <w:lang w:val="en-US" w:eastAsia="zh-CN"/>
        </w:rPr>
        <w:t>6</w:t>
      </w:r>
      <w:r>
        <w:rPr>
          <w:rFonts w:hint="eastAsia" w:ascii="宋体" w:hAnsi="宋体" w:eastAsia="宋体" w:cs="宋体"/>
          <w:b/>
          <w:bCs/>
          <w:color w:val="auto"/>
          <w:sz w:val="24"/>
          <w:highlight w:val="none"/>
        </w:rPr>
        <w:t>年</w:t>
      </w:r>
      <w:r>
        <w:rPr>
          <w:rFonts w:hint="eastAsia" w:ascii="宋体" w:hAnsi="宋体" w:eastAsia="宋体" w:cs="宋体"/>
          <w:b/>
          <w:bCs/>
          <w:color w:val="auto"/>
          <w:sz w:val="24"/>
          <w:highlight w:val="none"/>
          <w:lang w:val="en-US" w:eastAsia="zh-CN"/>
        </w:rPr>
        <w:t>05</w:t>
      </w:r>
      <w:r>
        <w:rPr>
          <w:rFonts w:hint="eastAsia" w:ascii="宋体" w:hAnsi="宋体" w:eastAsia="宋体" w:cs="宋体"/>
          <w:b/>
          <w:bCs/>
          <w:color w:val="auto"/>
          <w:sz w:val="24"/>
          <w:highlight w:val="none"/>
        </w:rPr>
        <w:t>月</w:t>
      </w:r>
      <w:r>
        <w:rPr>
          <w:rFonts w:hint="eastAsia" w:ascii="宋体" w:hAnsi="宋体" w:cs="宋体"/>
          <w:b/>
          <w:bCs/>
          <w:color w:val="auto"/>
          <w:sz w:val="24"/>
          <w:highlight w:val="none"/>
          <w:lang w:val="en-US" w:eastAsia="zh-CN"/>
        </w:rPr>
        <w:t>07</w:t>
      </w:r>
      <w:r>
        <w:rPr>
          <w:rFonts w:hint="eastAsia" w:ascii="宋体" w:hAnsi="宋体" w:eastAsia="宋体" w:cs="宋体"/>
          <w:b/>
          <w:bCs/>
          <w:color w:val="auto"/>
          <w:sz w:val="24"/>
          <w:highlight w:val="none"/>
        </w:rPr>
        <w:t>日起至202</w:t>
      </w:r>
      <w:r>
        <w:rPr>
          <w:rFonts w:hint="eastAsia" w:ascii="宋体" w:hAnsi="宋体" w:eastAsia="宋体" w:cs="宋体"/>
          <w:b/>
          <w:bCs/>
          <w:color w:val="auto"/>
          <w:sz w:val="24"/>
          <w:highlight w:val="none"/>
          <w:lang w:val="en-US" w:eastAsia="zh-CN"/>
        </w:rPr>
        <w:t>6</w:t>
      </w:r>
      <w:r>
        <w:rPr>
          <w:rFonts w:hint="eastAsia" w:ascii="宋体" w:hAnsi="宋体" w:eastAsia="宋体" w:cs="宋体"/>
          <w:b/>
          <w:bCs/>
          <w:color w:val="auto"/>
          <w:sz w:val="24"/>
          <w:highlight w:val="none"/>
        </w:rPr>
        <w:t>年</w:t>
      </w:r>
      <w:r>
        <w:rPr>
          <w:rFonts w:hint="eastAsia" w:ascii="宋体" w:hAnsi="宋体" w:eastAsia="宋体" w:cs="宋体"/>
          <w:b/>
          <w:bCs/>
          <w:color w:val="auto"/>
          <w:sz w:val="24"/>
          <w:highlight w:val="none"/>
          <w:lang w:val="en-US" w:eastAsia="zh-CN"/>
        </w:rPr>
        <w:t>05</w:t>
      </w:r>
      <w:r>
        <w:rPr>
          <w:rFonts w:hint="eastAsia" w:ascii="宋体" w:hAnsi="宋体" w:eastAsia="宋体" w:cs="宋体"/>
          <w:b/>
          <w:bCs/>
          <w:color w:val="auto"/>
          <w:sz w:val="24"/>
          <w:highlight w:val="none"/>
        </w:rPr>
        <w:t>月</w:t>
      </w:r>
      <w:r>
        <w:rPr>
          <w:rFonts w:hint="eastAsia" w:ascii="宋体" w:hAnsi="宋体" w:cs="宋体"/>
          <w:b/>
          <w:bCs/>
          <w:color w:val="auto"/>
          <w:sz w:val="24"/>
          <w:highlight w:val="none"/>
          <w:lang w:val="en-US" w:eastAsia="zh-CN"/>
        </w:rPr>
        <w:t>13</w:t>
      </w:r>
      <w:r>
        <w:rPr>
          <w:rFonts w:hint="eastAsia" w:ascii="宋体" w:hAnsi="宋体" w:eastAsia="宋体" w:cs="宋体"/>
          <w:b/>
          <w:bCs/>
          <w:color w:val="auto"/>
          <w:sz w:val="24"/>
          <w:highlight w:val="none"/>
        </w:rPr>
        <w:t>日每天0</w:t>
      </w:r>
      <w:r>
        <w:rPr>
          <w:rFonts w:hint="eastAsia" w:ascii="宋体" w:hAnsi="宋体" w:cs="宋体"/>
          <w:b/>
          <w:bCs/>
          <w:color w:val="auto"/>
          <w:sz w:val="24"/>
          <w:highlight w:val="none"/>
          <w:lang w:val="en-US" w:eastAsia="zh-CN"/>
        </w:rPr>
        <w:t>6</w:t>
      </w:r>
      <w:r>
        <w:rPr>
          <w:rFonts w:hint="eastAsia" w:ascii="宋体" w:hAnsi="宋体" w:eastAsia="宋体" w:cs="宋体"/>
          <w:b/>
          <w:bCs/>
          <w:color w:val="auto"/>
          <w:sz w:val="24"/>
          <w:highlight w:val="none"/>
        </w:rPr>
        <w:t>：00-12：00，12：00-23：59时（北京时间，法定节假日除外）。</w:t>
      </w:r>
    </w:p>
    <w:p w14:paraId="63C8C311">
      <w:pPr>
        <w:keepNext w:val="0"/>
        <w:keepLines w:val="0"/>
        <w:pageBreakBefore w:val="0"/>
        <w:widowControl w:val="0"/>
        <w:kinsoku/>
        <w:wordWrap/>
        <w:overflowPunct/>
        <w:topLinePunct w:val="0"/>
        <w:autoSpaceDE/>
        <w:autoSpaceDN/>
        <w:bidi w:val="0"/>
        <w:spacing w:line="360" w:lineRule="auto"/>
        <w:ind w:firstLine="482" w:firstLineChars="200"/>
        <w:textAlignment w:val="auto"/>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2.地点：政采云平台（https://www.zcygov.cn/）线上获取。</w:t>
      </w:r>
    </w:p>
    <w:p w14:paraId="4ED3F36E">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3.方式：①凡有意参加投标者，须在政采云平台办理数字证书（CA），并在政采云绑定数字证书（CA）后线上获取采购文件及其它采购资料。CA申领链接https://middle.zcygov.cn/ca/apply/list?_app_=zcy.sys，CA申领后需登陆政采云平台完成数字证书（CA）绑定才可以使用，数字证书（CA）详见其办理流程。</w:t>
      </w:r>
    </w:p>
    <w:p w14:paraId="65690279">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②按上述要求获取文件的</w:t>
      </w:r>
      <w:r>
        <w:rPr>
          <w:rFonts w:hint="eastAsia" w:ascii="宋体" w:hAnsi="宋体" w:eastAsia="宋体" w:cs="宋体"/>
          <w:color w:val="auto"/>
          <w:sz w:val="24"/>
          <w:szCs w:val="21"/>
          <w:highlight w:val="none"/>
          <w:lang w:eastAsia="zh-CN"/>
        </w:rPr>
        <w:t>投标人</w:t>
      </w:r>
      <w:r>
        <w:rPr>
          <w:rFonts w:hint="eastAsia" w:ascii="宋体" w:hAnsi="宋体" w:eastAsia="宋体" w:cs="宋体"/>
          <w:color w:val="auto"/>
          <w:sz w:val="24"/>
          <w:szCs w:val="21"/>
          <w:highlight w:val="none"/>
        </w:rPr>
        <w:t>视为合法获取了本项目采购文件，具备本项目的投标资格。</w:t>
      </w:r>
    </w:p>
    <w:p w14:paraId="0D39551C">
      <w:pPr>
        <w:pStyle w:val="17"/>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color w:val="auto"/>
          <w:highlight w:val="none"/>
        </w:rPr>
      </w:pPr>
      <w:r>
        <w:rPr>
          <w:rFonts w:hint="eastAsia" w:ascii="宋体" w:hAnsi="宋体" w:eastAsia="宋体" w:cs="宋体"/>
          <w:color w:val="auto"/>
          <w:sz w:val="24"/>
          <w:szCs w:val="21"/>
          <w:highlight w:val="none"/>
        </w:rPr>
        <w:t>4.售价：0元。</w:t>
      </w:r>
    </w:p>
    <w:p w14:paraId="75C851E8">
      <w:pPr>
        <w:keepNext w:val="0"/>
        <w:keepLines w:val="0"/>
        <w:pageBreakBefore w:val="0"/>
        <w:kinsoku/>
        <w:wordWrap/>
        <w:overflowPunct/>
        <w:topLinePunct w:val="0"/>
        <w:autoSpaceDE/>
        <w:autoSpaceDN/>
        <w:bidi w:val="0"/>
        <w:spacing w:line="360" w:lineRule="auto"/>
        <w:textAlignment w:val="auto"/>
        <w:outlineLvl w:val="1"/>
        <w:rPr>
          <w:rFonts w:hint="eastAsia" w:ascii="宋体" w:hAnsi="宋体" w:eastAsia="宋体" w:cs="宋体"/>
          <w:b/>
          <w:bCs/>
          <w:color w:val="auto"/>
          <w:sz w:val="24"/>
          <w:szCs w:val="21"/>
          <w:highlight w:val="none"/>
        </w:rPr>
      </w:pPr>
      <w:bookmarkStart w:id="22" w:name="_Toc27590"/>
      <w:bookmarkStart w:id="23" w:name="_Toc2045"/>
      <w:bookmarkStart w:id="24" w:name="_Toc28452"/>
      <w:bookmarkStart w:id="25" w:name="_Toc7541"/>
      <w:bookmarkStart w:id="26" w:name="_Toc30509"/>
      <w:r>
        <w:rPr>
          <w:rFonts w:hint="eastAsia" w:ascii="宋体" w:hAnsi="宋体" w:eastAsia="宋体" w:cs="宋体"/>
          <w:b/>
          <w:bCs/>
          <w:color w:val="auto"/>
          <w:sz w:val="24"/>
          <w:szCs w:val="21"/>
          <w:highlight w:val="none"/>
        </w:rPr>
        <w:fldChar w:fldCharType="begin"/>
      </w:r>
      <w:r>
        <w:rPr>
          <w:rFonts w:hint="eastAsia" w:ascii="宋体" w:hAnsi="宋体" w:eastAsia="宋体" w:cs="宋体"/>
          <w:b/>
          <w:bCs/>
          <w:color w:val="auto"/>
          <w:sz w:val="24"/>
          <w:szCs w:val="21"/>
          <w:highlight w:val="none"/>
        </w:rPr>
        <w:instrText xml:space="preserve"> HYPERLINK "http:///" </w:instrText>
      </w:r>
      <w:r>
        <w:rPr>
          <w:rFonts w:hint="eastAsia" w:ascii="宋体" w:hAnsi="宋体" w:eastAsia="宋体" w:cs="宋体"/>
          <w:b/>
          <w:bCs/>
          <w:color w:val="auto"/>
          <w:sz w:val="24"/>
          <w:szCs w:val="21"/>
          <w:highlight w:val="none"/>
        </w:rPr>
        <w:fldChar w:fldCharType="separate"/>
      </w:r>
      <w:bookmarkEnd w:id="21"/>
      <w:r>
        <w:rPr>
          <w:rFonts w:hint="eastAsia" w:ascii="宋体" w:hAnsi="宋体" w:eastAsia="宋体" w:cs="宋体"/>
          <w:b/>
          <w:bCs/>
          <w:color w:val="auto"/>
          <w:sz w:val="24"/>
          <w:szCs w:val="21"/>
          <w:highlight w:val="none"/>
        </w:rPr>
        <w:fldChar w:fldCharType="end"/>
      </w:r>
      <w:bookmarkStart w:id="27" w:name="_Toc28359005"/>
      <w:r>
        <w:rPr>
          <w:rFonts w:hint="eastAsia" w:ascii="宋体" w:hAnsi="宋体" w:eastAsia="宋体" w:cs="宋体"/>
          <w:b/>
          <w:bCs/>
          <w:color w:val="auto"/>
          <w:sz w:val="24"/>
          <w:szCs w:val="21"/>
          <w:highlight w:val="none"/>
        </w:rPr>
        <w:fldChar w:fldCharType="begin"/>
      </w:r>
      <w:r>
        <w:rPr>
          <w:rFonts w:hint="eastAsia" w:ascii="宋体" w:hAnsi="宋体" w:eastAsia="宋体" w:cs="宋体"/>
          <w:b/>
          <w:bCs/>
          <w:color w:val="auto"/>
          <w:sz w:val="24"/>
          <w:szCs w:val="21"/>
          <w:highlight w:val="none"/>
        </w:rPr>
        <w:instrText xml:space="preserve"> HYPERLINK "http:///" </w:instrText>
      </w:r>
      <w:r>
        <w:rPr>
          <w:rFonts w:hint="eastAsia" w:ascii="宋体" w:hAnsi="宋体" w:eastAsia="宋体" w:cs="宋体"/>
          <w:b/>
          <w:bCs/>
          <w:color w:val="auto"/>
          <w:sz w:val="24"/>
          <w:szCs w:val="21"/>
          <w:highlight w:val="none"/>
        </w:rPr>
        <w:fldChar w:fldCharType="separate"/>
      </w:r>
      <w:bookmarkEnd w:id="27"/>
      <w:r>
        <w:rPr>
          <w:rFonts w:hint="eastAsia" w:ascii="宋体" w:hAnsi="宋体" w:eastAsia="宋体" w:cs="宋体"/>
          <w:b/>
          <w:bCs/>
          <w:color w:val="auto"/>
          <w:sz w:val="24"/>
          <w:szCs w:val="21"/>
          <w:highlight w:val="none"/>
        </w:rPr>
        <w:fldChar w:fldCharType="end"/>
      </w:r>
      <w:bookmarkStart w:id="28" w:name="_Toc35393624"/>
      <w:r>
        <w:rPr>
          <w:rFonts w:hint="eastAsia" w:ascii="宋体" w:hAnsi="宋体" w:eastAsia="宋体" w:cs="宋体"/>
          <w:b/>
          <w:bCs/>
          <w:color w:val="auto"/>
          <w:sz w:val="24"/>
          <w:szCs w:val="21"/>
          <w:highlight w:val="none"/>
        </w:rPr>
        <w:fldChar w:fldCharType="begin"/>
      </w:r>
      <w:r>
        <w:rPr>
          <w:rFonts w:hint="eastAsia" w:ascii="宋体" w:hAnsi="宋体" w:eastAsia="宋体" w:cs="宋体"/>
          <w:b/>
          <w:bCs/>
          <w:color w:val="auto"/>
          <w:sz w:val="24"/>
          <w:szCs w:val="21"/>
          <w:highlight w:val="none"/>
        </w:rPr>
        <w:instrText xml:space="preserve"> HYPERLINK "http:///" </w:instrText>
      </w:r>
      <w:r>
        <w:rPr>
          <w:rFonts w:hint="eastAsia" w:ascii="宋体" w:hAnsi="宋体" w:eastAsia="宋体" w:cs="宋体"/>
          <w:b/>
          <w:bCs/>
          <w:color w:val="auto"/>
          <w:sz w:val="24"/>
          <w:szCs w:val="21"/>
          <w:highlight w:val="none"/>
        </w:rPr>
        <w:fldChar w:fldCharType="separate"/>
      </w:r>
      <w:bookmarkEnd w:id="28"/>
      <w:r>
        <w:rPr>
          <w:rFonts w:hint="eastAsia" w:ascii="宋体" w:hAnsi="宋体" w:eastAsia="宋体" w:cs="宋体"/>
          <w:b/>
          <w:bCs/>
          <w:color w:val="auto"/>
          <w:sz w:val="24"/>
          <w:szCs w:val="21"/>
          <w:highlight w:val="none"/>
        </w:rPr>
        <w:fldChar w:fldCharType="end"/>
      </w:r>
      <w:r>
        <w:rPr>
          <w:rFonts w:hint="eastAsia" w:ascii="宋体" w:hAnsi="宋体" w:eastAsia="宋体" w:cs="宋体"/>
          <w:b/>
          <w:bCs/>
          <w:color w:val="auto"/>
          <w:sz w:val="24"/>
          <w:szCs w:val="21"/>
          <w:highlight w:val="none"/>
        </w:rPr>
        <w:t>四、提交投标文件截止时间、开标时间和地点</w:t>
      </w:r>
      <w:bookmarkEnd w:id="22"/>
      <w:bookmarkEnd w:id="23"/>
      <w:bookmarkEnd w:id="24"/>
      <w:bookmarkEnd w:id="25"/>
      <w:bookmarkEnd w:id="26"/>
    </w:p>
    <w:p w14:paraId="003DE1CE">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1.投标文件递交截止时间及开标时间：2026年0</w:t>
      </w:r>
      <w:r>
        <w:rPr>
          <w:rFonts w:hint="eastAsia" w:ascii="宋体" w:hAnsi="宋体" w:eastAsia="宋体" w:cs="宋体"/>
          <w:color w:val="auto"/>
          <w:sz w:val="24"/>
          <w:szCs w:val="21"/>
          <w:highlight w:val="none"/>
          <w:lang w:val="en-US" w:eastAsia="zh-CN"/>
        </w:rPr>
        <w:t>5</w:t>
      </w:r>
      <w:r>
        <w:rPr>
          <w:rFonts w:hint="eastAsia" w:ascii="宋体" w:hAnsi="宋体" w:eastAsia="宋体" w:cs="宋体"/>
          <w:color w:val="auto"/>
          <w:sz w:val="24"/>
          <w:szCs w:val="21"/>
          <w:highlight w:val="none"/>
        </w:rPr>
        <w:t>月</w:t>
      </w:r>
      <w:r>
        <w:rPr>
          <w:rFonts w:hint="eastAsia" w:ascii="宋体" w:hAnsi="宋体" w:cs="宋体"/>
          <w:color w:val="auto"/>
          <w:sz w:val="24"/>
          <w:szCs w:val="21"/>
          <w:highlight w:val="none"/>
          <w:lang w:val="en-US" w:eastAsia="zh-CN"/>
        </w:rPr>
        <w:t>29</w:t>
      </w:r>
      <w:r>
        <w:rPr>
          <w:rFonts w:hint="eastAsia" w:ascii="宋体" w:hAnsi="宋体" w:eastAsia="宋体" w:cs="宋体"/>
          <w:color w:val="auto"/>
          <w:sz w:val="24"/>
          <w:szCs w:val="21"/>
          <w:highlight w:val="none"/>
        </w:rPr>
        <w:t>日09时00分（北京时间）。</w:t>
      </w:r>
    </w:p>
    <w:p w14:paraId="24830918">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2.投标文件递交地点及开标地点：请登录政采云平台（https://www.zcygov.cn/）投标客户端投标。</w:t>
      </w:r>
    </w:p>
    <w:p w14:paraId="5DFA53C6">
      <w:pPr>
        <w:keepNext w:val="0"/>
        <w:keepLines w:val="0"/>
        <w:pageBreakBefore w:val="0"/>
        <w:kinsoku/>
        <w:wordWrap/>
        <w:overflowPunct/>
        <w:topLinePunct w:val="0"/>
        <w:autoSpaceDE/>
        <w:autoSpaceDN/>
        <w:bidi w:val="0"/>
        <w:spacing w:line="360" w:lineRule="auto"/>
        <w:textAlignment w:val="auto"/>
        <w:outlineLvl w:val="1"/>
        <w:rPr>
          <w:rFonts w:hint="eastAsia" w:ascii="宋体" w:hAnsi="宋体" w:eastAsia="宋体" w:cs="宋体"/>
          <w:b/>
          <w:bCs/>
          <w:color w:val="auto"/>
          <w:sz w:val="24"/>
          <w:szCs w:val="21"/>
          <w:highlight w:val="none"/>
        </w:rPr>
      </w:pPr>
      <w:bookmarkStart w:id="29" w:name="_Toc29453"/>
      <w:bookmarkStart w:id="30" w:name="_Toc12644"/>
      <w:bookmarkStart w:id="31" w:name="_Toc25495"/>
      <w:bookmarkStart w:id="32" w:name="_Toc9145"/>
      <w:bookmarkStart w:id="33" w:name="_Toc13758"/>
      <w:r>
        <w:rPr>
          <w:rFonts w:hint="eastAsia" w:ascii="宋体" w:hAnsi="宋体" w:eastAsia="宋体" w:cs="宋体"/>
          <w:b/>
          <w:bCs/>
          <w:color w:val="auto"/>
          <w:sz w:val="24"/>
          <w:szCs w:val="21"/>
          <w:highlight w:val="none"/>
        </w:rPr>
        <w:t>五、公告期限</w:t>
      </w:r>
      <w:bookmarkEnd w:id="29"/>
      <w:bookmarkEnd w:id="30"/>
      <w:bookmarkEnd w:id="31"/>
      <w:bookmarkEnd w:id="32"/>
      <w:bookmarkEnd w:id="33"/>
    </w:p>
    <w:p w14:paraId="23FB77DD">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自本公告发布之日起5个工作日。</w:t>
      </w:r>
    </w:p>
    <w:p w14:paraId="465F3A1C">
      <w:pPr>
        <w:keepNext w:val="0"/>
        <w:keepLines w:val="0"/>
        <w:pageBreakBefore w:val="0"/>
        <w:kinsoku/>
        <w:wordWrap/>
        <w:overflowPunct/>
        <w:topLinePunct w:val="0"/>
        <w:autoSpaceDE/>
        <w:autoSpaceDN/>
        <w:bidi w:val="0"/>
        <w:spacing w:line="360" w:lineRule="auto"/>
        <w:textAlignment w:val="auto"/>
        <w:outlineLvl w:val="1"/>
        <w:rPr>
          <w:rFonts w:hint="eastAsia" w:ascii="宋体" w:hAnsi="宋体" w:eastAsia="宋体" w:cs="宋体"/>
          <w:b/>
          <w:bCs/>
          <w:color w:val="auto"/>
          <w:sz w:val="24"/>
          <w:szCs w:val="21"/>
          <w:highlight w:val="none"/>
        </w:rPr>
      </w:pPr>
      <w:bookmarkStart w:id="34" w:name="_Toc35393626"/>
      <w:bookmarkStart w:id="35" w:name="_Toc8318"/>
      <w:bookmarkStart w:id="36" w:name="_Toc25371"/>
      <w:bookmarkStart w:id="37" w:name="_Toc29451"/>
      <w:bookmarkStart w:id="38" w:name="_Toc22820"/>
      <w:bookmarkStart w:id="39" w:name="_Toc3444"/>
      <w:r>
        <w:rPr>
          <w:rFonts w:hint="eastAsia" w:ascii="宋体" w:hAnsi="宋体" w:eastAsia="宋体" w:cs="宋体"/>
          <w:b/>
          <w:bCs/>
          <w:color w:val="auto"/>
          <w:sz w:val="24"/>
          <w:szCs w:val="21"/>
          <w:highlight w:val="none"/>
        </w:rPr>
        <w:fldChar w:fldCharType="begin"/>
      </w:r>
      <w:r>
        <w:rPr>
          <w:rFonts w:hint="eastAsia" w:ascii="宋体" w:hAnsi="宋体" w:eastAsia="宋体" w:cs="宋体"/>
          <w:b/>
          <w:bCs/>
          <w:color w:val="auto"/>
          <w:sz w:val="24"/>
          <w:szCs w:val="21"/>
          <w:highlight w:val="none"/>
        </w:rPr>
        <w:instrText xml:space="preserve"> HYPERLINK "http:///" </w:instrText>
      </w:r>
      <w:r>
        <w:rPr>
          <w:rFonts w:hint="eastAsia" w:ascii="宋体" w:hAnsi="宋体" w:eastAsia="宋体" w:cs="宋体"/>
          <w:b/>
          <w:bCs/>
          <w:color w:val="auto"/>
          <w:sz w:val="24"/>
          <w:szCs w:val="21"/>
          <w:highlight w:val="none"/>
        </w:rPr>
        <w:fldChar w:fldCharType="separate"/>
      </w:r>
      <w:bookmarkEnd w:id="34"/>
      <w:r>
        <w:rPr>
          <w:rFonts w:hint="eastAsia" w:ascii="宋体" w:hAnsi="宋体" w:eastAsia="宋体" w:cs="宋体"/>
          <w:b/>
          <w:bCs/>
          <w:color w:val="auto"/>
          <w:sz w:val="24"/>
          <w:szCs w:val="21"/>
          <w:highlight w:val="none"/>
        </w:rPr>
        <w:fldChar w:fldCharType="end"/>
      </w:r>
      <w:r>
        <w:rPr>
          <w:rFonts w:hint="eastAsia" w:ascii="宋体" w:hAnsi="宋体" w:eastAsia="宋体" w:cs="宋体"/>
          <w:b/>
          <w:bCs/>
          <w:color w:val="auto"/>
          <w:sz w:val="24"/>
          <w:szCs w:val="21"/>
          <w:highlight w:val="none"/>
        </w:rPr>
        <w:t>六、其他补充事宜</w:t>
      </w:r>
      <w:bookmarkEnd w:id="35"/>
      <w:bookmarkEnd w:id="36"/>
      <w:bookmarkEnd w:id="37"/>
      <w:bookmarkEnd w:id="38"/>
      <w:bookmarkEnd w:id="39"/>
    </w:p>
    <w:p w14:paraId="1A810FB9">
      <w:pPr>
        <w:keepNext w:val="0"/>
        <w:keepLines w:val="0"/>
        <w:pageBreakBefore w:val="0"/>
        <w:shd w:val="clear" w:color="auto" w:fill="auto"/>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1.开标方式：网上开标</w:t>
      </w:r>
    </w:p>
    <w:p w14:paraId="07DFA8B7">
      <w:pPr>
        <w:keepNext w:val="0"/>
        <w:keepLines w:val="0"/>
        <w:pageBreakBefore w:val="0"/>
        <w:shd w:val="clear" w:color="auto" w:fill="auto"/>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是否需要缴纳投标保证金：是</w:t>
      </w:r>
    </w:p>
    <w:p w14:paraId="387C778B">
      <w:pPr>
        <w:pStyle w:val="14"/>
        <w:keepNext w:val="0"/>
        <w:keepLines w:val="0"/>
        <w:pageBreakBefore w:val="0"/>
        <w:shd w:val="clear" w:color="auto" w:fill="auto"/>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投标保证金</w:t>
      </w:r>
      <w:r>
        <w:rPr>
          <w:rFonts w:hint="eastAsia" w:ascii="宋体" w:hAnsi="宋体" w:eastAsia="宋体" w:cs="宋体"/>
          <w:color w:val="auto"/>
          <w:highlight w:val="none"/>
          <w:lang w:val="en-US" w:eastAsia="zh-CN"/>
        </w:rPr>
        <w:t>金额：</w:t>
      </w:r>
      <w:r>
        <w:rPr>
          <w:rFonts w:hint="eastAsia" w:ascii="宋体" w:hAnsi="宋体" w:eastAsia="宋体" w:cs="宋体"/>
          <w:color w:val="auto"/>
          <w:highlight w:val="none"/>
        </w:rPr>
        <w:t>标段</w:t>
      </w: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rPr>
        <w:t>：</w:t>
      </w:r>
      <w:r>
        <w:rPr>
          <w:rFonts w:hint="eastAsia" w:ascii="宋体" w:hAnsi="宋体" w:eastAsia="宋体" w:cs="宋体"/>
          <w:b w:val="0"/>
          <w:bCs w:val="0"/>
          <w:color w:val="auto"/>
          <w:highlight w:val="none"/>
        </w:rPr>
        <w:t>¥</w:t>
      </w:r>
      <w:r>
        <w:rPr>
          <w:rFonts w:hint="eastAsia" w:ascii="宋体" w:hAnsi="宋体" w:eastAsia="宋体" w:cs="宋体"/>
          <w:color w:val="auto"/>
          <w:highlight w:val="none"/>
          <w:lang w:val="en-US" w:eastAsia="zh-CN"/>
        </w:rPr>
        <w:t>3000</w:t>
      </w:r>
      <w:r>
        <w:rPr>
          <w:rFonts w:hint="eastAsia" w:ascii="宋体" w:hAnsi="宋体" w:eastAsia="宋体" w:cs="宋体"/>
          <w:color w:val="auto"/>
          <w:highlight w:val="none"/>
        </w:rPr>
        <w:t>.00元；标段</w:t>
      </w: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14000</w:t>
      </w:r>
      <w:r>
        <w:rPr>
          <w:rFonts w:hint="eastAsia" w:ascii="宋体" w:hAnsi="宋体" w:eastAsia="宋体" w:cs="宋体"/>
          <w:color w:val="auto"/>
          <w:highlight w:val="none"/>
        </w:rPr>
        <w:t>.00元</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标段</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w:t>
      </w:r>
      <w:r>
        <w:rPr>
          <w:rFonts w:hint="eastAsia" w:ascii="宋体" w:hAnsi="宋体" w:eastAsia="宋体" w:cs="宋体"/>
          <w:b w:val="0"/>
          <w:bCs w:val="0"/>
          <w:color w:val="auto"/>
          <w:highlight w:val="none"/>
        </w:rPr>
        <w:t>¥</w:t>
      </w:r>
      <w:r>
        <w:rPr>
          <w:rFonts w:hint="eastAsia" w:ascii="宋体" w:hAnsi="宋体" w:eastAsia="宋体" w:cs="宋体"/>
          <w:color w:val="auto"/>
          <w:highlight w:val="none"/>
          <w:lang w:val="en-US" w:eastAsia="zh-CN"/>
        </w:rPr>
        <w:t>7500</w:t>
      </w:r>
      <w:r>
        <w:rPr>
          <w:rFonts w:hint="eastAsia" w:ascii="宋体" w:hAnsi="宋体" w:eastAsia="宋体" w:cs="宋体"/>
          <w:color w:val="auto"/>
          <w:highlight w:val="none"/>
        </w:rPr>
        <w:t>.00元；标段</w:t>
      </w:r>
      <w:r>
        <w:rPr>
          <w:rFonts w:hint="eastAsia" w:ascii="宋体" w:hAnsi="宋体" w:eastAsia="宋体" w:cs="宋体"/>
          <w:color w:val="auto"/>
          <w:highlight w:val="none"/>
          <w:lang w:val="en-US" w:eastAsia="zh-CN"/>
        </w:rPr>
        <w:t>4</w:t>
      </w: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5000</w:t>
      </w:r>
      <w:r>
        <w:rPr>
          <w:rFonts w:hint="eastAsia" w:ascii="宋体" w:hAnsi="宋体" w:eastAsia="宋体" w:cs="宋体"/>
          <w:color w:val="auto"/>
          <w:highlight w:val="none"/>
        </w:rPr>
        <w:t>.00元；标段</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6000</w:t>
      </w:r>
      <w:r>
        <w:rPr>
          <w:rFonts w:hint="eastAsia" w:ascii="宋体" w:hAnsi="宋体" w:eastAsia="宋体" w:cs="宋体"/>
          <w:color w:val="auto"/>
          <w:highlight w:val="none"/>
        </w:rPr>
        <w:t>.00元</w:t>
      </w:r>
      <w:r>
        <w:rPr>
          <w:rFonts w:hint="eastAsia" w:ascii="宋体" w:hAnsi="宋体" w:eastAsia="宋体" w:cs="宋体"/>
          <w:color w:val="auto"/>
          <w:highlight w:val="none"/>
          <w:lang w:eastAsia="zh-CN"/>
        </w:rPr>
        <w:t>。</w:t>
      </w:r>
    </w:p>
    <w:p w14:paraId="2FFF4945">
      <w:pPr>
        <w:pStyle w:val="14"/>
        <w:keepNext w:val="0"/>
        <w:keepLines w:val="0"/>
        <w:pageBreakBefore w:val="0"/>
        <w:shd w:val="clear" w:color="auto" w:fill="auto"/>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根据《云南省发展和改革委员会等部门关于鼓励减免政府投资项目投标保证金的通知》（云发改交易管理〔2023〕397号），政府投资项目进行招标投标活动时，减免投标保证金，降幅不得低于现收取数额的50%的要求。本项目投标保证金降幅严格按照要求执行。</w:t>
      </w:r>
    </w:p>
    <w:p w14:paraId="4E94C4DC">
      <w:pPr>
        <w:keepNext w:val="0"/>
        <w:keepLines w:val="0"/>
        <w:pageBreakBefore w:val="0"/>
        <w:shd w:val="clear" w:color="auto" w:fill="auto"/>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保证金缴纳方式：支票、汇票、本票、保函、银行转账、保证保险等非现金形式。</w:t>
      </w:r>
    </w:p>
    <w:p w14:paraId="2AED5DC4">
      <w:pPr>
        <w:keepNext w:val="0"/>
        <w:keepLines w:val="0"/>
        <w:pageBreakBefore w:val="0"/>
        <w:shd w:val="clear" w:color="auto" w:fill="auto"/>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保证金缴纳截止时间：同开标截止时间</w:t>
      </w:r>
    </w:p>
    <w:p w14:paraId="338FC8E4">
      <w:pPr>
        <w:keepNext w:val="0"/>
        <w:keepLines w:val="0"/>
        <w:pageBreakBefore w:val="0"/>
        <w:shd w:val="clear" w:color="auto" w:fill="auto"/>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2.开户信息</w:t>
      </w:r>
    </w:p>
    <w:p w14:paraId="1E254569">
      <w:pPr>
        <w:keepNext w:val="0"/>
        <w:keepLines w:val="0"/>
        <w:pageBreakBefore w:val="0"/>
        <w:shd w:val="clear" w:color="auto" w:fill="auto"/>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户名：云南梧桐建设工程管理有限公司</w:t>
      </w:r>
    </w:p>
    <w:p w14:paraId="0D29EB9A">
      <w:pPr>
        <w:keepNext w:val="0"/>
        <w:keepLines w:val="0"/>
        <w:pageBreakBefore w:val="0"/>
        <w:shd w:val="clear" w:color="auto" w:fill="auto"/>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开户行：兴业银行昆明小康大道支行</w:t>
      </w:r>
    </w:p>
    <w:p w14:paraId="461D1696">
      <w:pPr>
        <w:keepNext w:val="0"/>
        <w:keepLines w:val="0"/>
        <w:pageBreakBefore w:val="0"/>
        <w:shd w:val="clear" w:color="auto" w:fill="auto"/>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bCs/>
          <w:color w:val="auto"/>
          <w:sz w:val="24"/>
          <w:highlight w:val="none"/>
        </w:rPr>
        <w:t>账户：471220100100090072</w:t>
      </w:r>
    </w:p>
    <w:p w14:paraId="58C40E1B">
      <w:pPr>
        <w:keepNext w:val="0"/>
        <w:keepLines w:val="0"/>
        <w:pageBreakBefore w:val="0"/>
        <w:shd w:val="clear" w:color="auto" w:fill="auto"/>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3.投标文件的递交</w:t>
      </w:r>
    </w:p>
    <w:p w14:paraId="0F7D24BC">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网上递交：网上递交网址为政采云平台（https://www.zcygov.cn/），各</w:t>
      </w: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应在开标前应确保成为政采云平台</w:t>
      </w: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，并完成CA数字证书申领。因未注册入库、未办理CA数字证书等原因造成无法投标或投标失败等后果由</w:t>
      </w: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自行承担。投标人须在投标截止时间前完成所有投标文件的上传，投标截止时间前未完成投标文件上传的，视为撤回投标文件。若投标人未在规定时间完成解密的（如：无法解密、网络故障、未安装相关驱动、浏览器故障、加密CA与解密CA不一致等），则视为撤销其投标文件，不再进入评标阶段。开标过程中如有问题，可以发起在线异议，由代理机构给予对应的回复，在规定的异议询问时间内未提出异议的，则视为对开标结果无异议。</w:t>
      </w:r>
    </w:p>
    <w:p w14:paraId="6B1B2B77">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注：任何因忽视或误解而导致投标文件未上传或已上传但未按规定的操作流程及时间要求进行解密的，由投标人自行负责。</w:t>
      </w:r>
    </w:p>
    <w:p w14:paraId="273B54D2">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sz w:val="24"/>
          <w:highlight w:val="none"/>
        </w:rPr>
        <w:t>4.发布公告的媒介：本次招标公告在《云南省政府采购网》上公开发布，采购人及采购代理机构对其他网站转载本公告的内容不负任何责任。</w:t>
      </w:r>
    </w:p>
    <w:p w14:paraId="0FCE2EDD">
      <w:pPr>
        <w:keepNext w:val="0"/>
        <w:keepLines w:val="0"/>
        <w:pageBreakBefore w:val="0"/>
        <w:widowControl/>
        <w:kinsoku/>
        <w:wordWrap/>
        <w:overflowPunct/>
        <w:topLinePunct w:val="0"/>
        <w:autoSpaceDE/>
        <w:autoSpaceDN/>
        <w:bidi w:val="0"/>
        <w:spacing w:line="360" w:lineRule="auto"/>
        <w:jc w:val="left"/>
        <w:textAlignment w:val="auto"/>
        <w:outlineLvl w:val="1"/>
        <w:rPr>
          <w:rFonts w:hint="eastAsia" w:ascii="宋体" w:hAnsi="宋体" w:eastAsia="宋体" w:cs="宋体"/>
          <w:b/>
          <w:bCs/>
          <w:color w:val="auto"/>
          <w:kern w:val="0"/>
          <w:sz w:val="24"/>
          <w:highlight w:val="none"/>
        </w:rPr>
      </w:pPr>
      <w:bookmarkStart w:id="40" w:name="_Toc32552"/>
      <w:bookmarkStart w:id="41" w:name="_Toc11523"/>
      <w:bookmarkStart w:id="42" w:name="_Toc21412"/>
      <w:bookmarkStart w:id="43" w:name="_Toc4350"/>
      <w:bookmarkStart w:id="44" w:name="_Toc17355"/>
      <w:r>
        <w:rPr>
          <w:rFonts w:hint="eastAsia" w:ascii="宋体" w:hAnsi="宋体" w:eastAsia="宋体" w:cs="宋体"/>
          <w:b/>
          <w:bCs/>
          <w:color w:val="auto"/>
          <w:sz w:val="24"/>
          <w:szCs w:val="21"/>
          <w:highlight w:val="none"/>
        </w:rPr>
        <w:t>七、对本次招标提出询问，请按以下方式联系</w:t>
      </w:r>
      <w:bookmarkEnd w:id="40"/>
      <w:bookmarkEnd w:id="41"/>
      <w:bookmarkEnd w:id="42"/>
      <w:bookmarkEnd w:id="43"/>
      <w:bookmarkEnd w:id="44"/>
    </w:p>
    <w:bookmarkEnd w:id="5"/>
    <w:p w14:paraId="47845B58">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1.采购人信息</w:t>
      </w:r>
    </w:p>
    <w:p w14:paraId="308A3A3E">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名称：玉溪职业技术学院（云南省玉溪工业财贸学校）</w:t>
      </w:r>
    </w:p>
    <w:p w14:paraId="6CFEEE09">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地址：</w:t>
      </w:r>
      <w:r>
        <w:rPr>
          <w:rFonts w:hint="eastAsia" w:ascii="宋体" w:hAnsi="宋体" w:eastAsia="宋体" w:cs="宋体"/>
          <w:color w:val="auto"/>
          <w:sz w:val="24"/>
          <w:highlight w:val="none"/>
        </w:rPr>
        <w:t>玉溪市红塔区科创大道9号</w:t>
      </w:r>
    </w:p>
    <w:p w14:paraId="0E2AD296">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联系方式：0877</w:t>
      </w:r>
      <w:r>
        <w:rPr>
          <w:rFonts w:hint="eastAsia" w:ascii="宋体" w:hAnsi="宋体" w:eastAsia="宋体" w:cs="宋体"/>
          <w:color w:val="auto"/>
          <w:kern w:val="0"/>
          <w:sz w:val="24"/>
          <w:highlight w:val="none"/>
          <w:lang w:val="en-US" w:eastAsia="zh-CN"/>
        </w:rPr>
        <w:t>-</w:t>
      </w:r>
      <w:r>
        <w:rPr>
          <w:rFonts w:hint="eastAsia" w:ascii="宋体" w:hAnsi="宋体" w:eastAsia="宋体" w:cs="宋体"/>
          <w:color w:val="auto"/>
          <w:kern w:val="0"/>
          <w:sz w:val="24"/>
          <w:highlight w:val="none"/>
        </w:rPr>
        <w:t>8885193</w:t>
      </w:r>
    </w:p>
    <w:p w14:paraId="632957A3">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2.代理机构信息</w:t>
      </w:r>
    </w:p>
    <w:p w14:paraId="5FD9FB4F">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名称：云南梧桐建设工程管理有限公司 </w:t>
      </w:r>
    </w:p>
    <w:p w14:paraId="0929CECC">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地址：云南省昆明市五华区小康大道580号银河北庭8栋首座商务中心写字楼19楼</w:t>
      </w:r>
    </w:p>
    <w:p w14:paraId="634B36D3">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联系方式：</w:t>
      </w:r>
      <w:r>
        <w:rPr>
          <w:rFonts w:hint="eastAsia" w:ascii="宋体" w:hAnsi="宋体" w:eastAsia="宋体" w:cs="宋体"/>
          <w:color w:val="auto"/>
          <w:kern w:val="0"/>
          <w:sz w:val="24"/>
          <w:szCs w:val="24"/>
          <w:highlight w:val="none"/>
          <w:lang w:val="en-US" w:eastAsia="zh-CN"/>
        </w:rPr>
        <w:t>16687077797</w:t>
      </w:r>
    </w:p>
    <w:p w14:paraId="693AF6A8">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3.项目联系方式</w:t>
      </w:r>
    </w:p>
    <w:p w14:paraId="36BD9006">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联系人：</w:t>
      </w:r>
      <w:r>
        <w:rPr>
          <w:rFonts w:hint="eastAsia" w:ascii="宋体" w:hAnsi="宋体" w:eastAsia="宋体" w:cs="宋体"/>
          <w:color w:val="auto"/>
          <w:kern w:val="0"/>
          <w:sz w:val="24"/>
          <w:szCs w:val="24"/>
          <w:highlight w:val="none"/>
          <w:lang w:val="en-US" w:eastAsia="zh-CN"/>
        </w:rPr>
        <w:t>卜</w:t>
      </w:r>
      <w:r>
        <w:rPr>
          <w:rFonts w:hint="eastAsia" w:ascii="宋体" w:hAnsi="宋体" w:eastAsia="宋体" w:cs="宋体"/>
          <w:color w:val="auto"/>
          <w:kern w:val="0"/>
          <w:sz w:val="24"/>
          <w:szCs w:val="24"/>
          <w:highlight w:val="none"/>
        </w:rPr>
        <w:t>工</w:t>
      </w:r>
    </w:p>
    <w:p w14:paraId="565C360B">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联系方式：</w:t>
      </w:r>
      <w:r>
        <w:rPr>
          <w:rFonts w:hint="eastAsia" w:ascii="宋体" w:hAnsi="宋体" w:eastAsia="宋体" w:cs="宋体"/>
          <w:color w:val="auto"/>
          <w:kern w:val="0"/>
          <w:sz w:val="24"/>
          <w:szCs w:val="24"/>
          <w:highlight w:val="none"/>
          <w:lang w:val="en-US" w:eastAsia="zh-CN"/>
        </w:rPr>
        <w:t>16687077797</w:t>
      </w:r>
    </w:p>
    <w:p w14:paraId="57A550C0">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4.技术支持 </w:t>
      </w:r>
    </w:p>
    <w:p w14:paraId="0874C17D">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政采云有限公司</w:t>
      </w:r>
    </w:p>
    <w:p w14:paraId="6020700C">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36"/>
          <w:highlight w:val="none"/>
        </w:rPr>
      </w:pPr>
      <w:r>
        <w:rPr>
          <w:rFonts w:hint="eastAsia" w:ascii="宋体" w:hAnsi="宋体" w:eastAsia="宋体" w:cs="宋体"/>
          <w:color w:val="auto"/>
          <w:kern w:val="0"/>
          <w:sz w:val="24"/>
          <w:highlight w:val="none"/>
        </w:rPr>
        <w:t>咨询服务电话：400-881-7190</w:t>
      </w:r>
    </w:p>
    <w:p w14:paraId="08CFA130">
      <w:pPr>
        <w:widowControl/>
        <w:spacing w:line="360" w:lineRule="auto"/>
        <w:jc w:val="left"/>
        <w:rPr>
          <w:rFonts w:hint="eastAsia" w:ascii="宋体" w:hAnsi="宋体" w:eastAsia="宋体" w:cs="宋体"/>
          <w:bCs/>
          <w:color w:val="auto"/>
          <w:sz w:val="36"/>
          <w:highlight w:val="none"/>
        </w:rPr>
      </w:pPr>
      <w:r>
        <w:rPr>
          <w:rFonts w:hint="eastAsia" w:ascii="宋体" w:hAnsi="宋体" w:eastAsia="宋体" w:cs="宋体"/>
          <w:bCs/>
          <w:color w:val="auto"/>
          <w:sz w:val="36"/>
          <w:highlight w:val="none"/>
        </w:rPr>
        <w:br w:type="page"/>
      </w:r>
    </w:p>
    <w:p w14:paraId="206768F5">
      <w:pPr>
        <w:widowControl/>
        <w:spacing w:line="360" w:lineRule="auto"/>
        <w:jc w:val="center"/>
        <w:outlineLvl w:val="0"/>
        <w:rPr>
          <w:rFonts w:hint="eastAsia" w:ascii="宋体" w:hAnsi="宋体" w:eastAsia="宋体" w:cs="宋体"/>
          <w:b/>
          <w:bCs/>
          <w:color w:val="auto"/>
          <w:kern w:val="44"/>
          <w:sz w:val="36"/>
          <w:szCs w:val="20"/>
          <w:highlight w:val="none"/>
        </w:rPr>
      </w:pPr>
      <w:bookmarkStart w:id="45" w:name="_Toc15108"/>
      <w:bookmarkStart w:id="46" w:name="_Toc29945"/>
      <w:bookmarkStart w:id="47" w:name="_Toc21914"/>
      <w:r>
        <w:rPr>
          <w:rFonts w:hint="eastAsia" w:ascii="宋体" w:hAnsi="宋体" w:eastAsia="宋体" w:cs="宋体"/>
          <w:b/>
          <w:bCs/>
          <w:color w:val="auto"/>
          <w:kern w:val="44"/>
          <w:sz w:val="36"/>
          <w:szCs w:val="20"/>
          <w:highlight w:val="none"/>
        </w:rPr>
        <w:t>第二章  投标人须知</w:t>
      </w:r>
      <w:bookmarkEnd w:id="45"/>
      <w:bookmarkEnd w:id="46"/>
      <w:bookmarkEnd w:id="47"/>
    </w:p>
    <w:p w14:paraId="3A325386">
      <w:pPr>
        <w:pStyle w:val="3"/>
        <w:spacing w:before="0"/>
        <w:jc w:val="center"/>
        <w:rPr>
          <w:rFonts w:hint="eastAsia" w:ascii="宋体" w:hAnsi="宋体" w:eastAsia="宋体" w:cs="宋体"/>
          <w:color w:val="auto"/>
          <w:szCs w:val="28"/>
          <w:highlight w:val="none"/>
        </w:rPr>
      </w:pPr>
      <w:bookmarkStart w:id="48" w:name="_Toc1459"/>
      <w:bookmarkStart w:id="49" w:name="_Toc2242"/>
      <w:bookmarkStart w:id="50" w:name="_Toc17914"/>
      <w:bookmarkStart w:id="51" w:name="_Toc19808"/>
      <w:r>
        <w:rPr>
          <w:rFonts w:hint="eastAsia" w:ascii="宋体" w:hAnsi="宋体" w:eastAsia="宋体" w:cs="宋体"/>
          <w:color w:val="auto"/>
          <w:szCs w:val="28"/>
          <w:highlight w:val="none"/>
        </w:rPr>
        <w:t>投标人须知前附表</w:t>
      </w:r>
      <w:bookmarkEnd w:id="48"/>
      <w:bookmarkEnd w:id="49"/>
      <w:bookmarkEnd w:id="50"/>
      <w:bookmarkEnd w:id="51"/>
    </w:p>
    <w:tbl>
      <w:tblPr>
        <w:tblStyle w:val="42"/>
        <w:tblW w:w="93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5"/>
        <w:gridCol w:w="1750"/>
        <w:gridCol w:w="6624"/>
      </w:tblGrid>
      <w:tr w14:paraId="1DFF6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975" w:type="dxa"/>
            <w:vAlign w:val="center"/>
          </w:tcPr>
          <w:p w14:paraId="58B9F0F3">
            <w:pPr>
              <w:pStyle w:val="21"/>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条款号</w:t>
            </w:r>
          </w:p>
        </w:tc>
        <w:tc>
          <w:tcPr>
            <w:tcW w:w="1750" w:type="dxa"/>
            <w:vAlign w:val="center"/>
          </w:tcPr>
          <w:p w14:paraId="188CFA11">
            <w:pPr>
              <w:pStyle w:val="21"/>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条 款 名 称</w:t>
            </w:r>
          </w:p>
        </w:tc>
        <w:tc>
          <w:tcPr>
            <w:tcW w:w="6624" w:type="dxa"/>
            <w:vAlign w:val="center"/>
          </w:tcPr>
          <w:p w14:paraId="42E47251">
            <w:pPr>
              <w:pStyle w:val="21"/>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编 列 内 容</w:t>
            </w:r>
          </w:p>
        </w:tc>
      </w:tr>
      <w:tr w14:paraId="700C2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84" w:hRule="atLeast"/>
          <w:jc w:val="center"/>
        </w:trPr>
        <w:tc>
          <w:tcPr>
            <w:tcW w:w="975" w:type="dxa"/>
            <w:vAlign w:val="center"/>
          </w:tcPr>
          <w:p w14:paraId="55FD83DB">
            <w:pPr>
              <w:pStyle w:val="21"/>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1750" w:type="dxa"/>
            <w:vAlign w:val="center"/>
          </w:tcPr>
          <w:p w14:paraId="67B23D55">
            <w:pPr>
              <w:pStyle w:val="21"/>
              <w:spacing w:line="360" w:lineRule="auto"/>
              <w:rPr>
                <w:rFonts w:hint="eastAsia" w:ascii="宋体" w:hAnsi="宋体" w:eastAsia="宋体" w:cs="宋体"/>
                <w:color w:val="auto"/>
                <w:sz w:val="24"/>
                <w:szCs w:val="24"/>
                <w:highlight w:val="none"/>
                <w:u w:val="single"/>
              </w:rPr>
            </w:pPr>
            <w:r>
              <w:rPr>
                <w:rFonts w:hint="eastAsia" w:ascii="宋体" w:hAnsi="宋体" w:eastAsia="宋体" w:cs="宋体"/>
                <w:bCs/>
                <w:color w:val="auto"/>
                <w:sz w:val="24"/>
                <w:szCs w:val="24"/>
                <w:highlight w:val="none"/>
              </w:rPr>
              <w:t>采购人</w:t>
            </w:r>
          </w:p>
        </w:tc>
        <w:tc>
          <w:tcPr>
            <w:tcW w:w="6624" w:type="dxa"/>
            <w:vAlign w:val="center"/>
          </w:tcPr>
          <w:p w14:paraId="776E62C0">
            <w:pPr>
              <w:widowControl/>
              <w:spacing w:line="360" w:lineRule="auto"/>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名称：玉溪职业技术学院（云南省玉溪工业财贸学校）</w:t>
            </w:r>
          </w:p>
          <w:p w14:paraId="62064480">
            <w:pPr>
              <w:widowControl/>
              <w:spacing w:line="360" w:lineRule="auto"/>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地址：玉溪市红塔区科创大道9号</w:t>
            </w:r>
          </w:p>
          <w:p w14:paraId="543B6A3A">
            <w:pPr>
              <w:widowControl/>
              <w:spacing w:line="360" w:lineRule="auto"/>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联系人：李老师</w:t>
            </w:r>
          </w:p>
          <w:p w14:paraId="6DA77D80">
            <w:pPr>
              <w:widowControl/>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kern w:val="0"/>
                <w:sz w:val="24"/>
                <w:szCs w:val="24"/>
                <w:highlight w:val="none"/>
                <w:lang w:val="en-US" w:eastAsia="zh-CN" w:bidi="ar-SA"/>
              </w:rPr>
              <w:t>联系方式：13988900492</w:t>
            </w:r>
          </w:p>
        </w:tc>
      </w:tr>
      <w:tr w14:paraId="76564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40" w:hRule="atLeast"/>
          <w:jc w:val="center"/>
        </w:trPr>
        <w:tc>
          <w:tcPr>
            <w:tcW w:w="975" w:type="dxa"/>
            <w:vAlign w:val="center"/>
          </w:tcPr>
          <w:p w14:paraId="60842B99">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p>
        </w:tc>
        <w:tc>
          <w:tcPr>
            <w:tcW w:w="1750" w:type="dxa"/>
            <w:vAlign w:val="center"/>
          </w:tcPr>
          <w:p w14:paraId="5517B482">
            <w:pPr>
              <w:pStyle w:val="21"/>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采购代理机构</w:t>
            </w:r>
          </w:p>
        </w:tc>
        <w:tc>
          <w:tcPr>
            <w:tcW w:w="6624" w:type="dxa"/>
            <w:vAlign w:val="center"/>
          </w:tcPr>
          <w:p w14:paraId="2F6C8E85">
            <w:pPr>
              <w:pStyle w:val="21"/>
              <w:pageBreakBefore w:val="0"/>
              <w:kinsoku/>
              <w:wordWrap/>
              <w:overflowPunct/>
              <w:topLinePunct w:val="0"/>
              <w:bidi w:val="0"/>
              <w:spacing w:beforeAutospacing="0" w:afterAutospacing="0" w:line="360" w:lineRule="auto"/>
              <w:ind w:left="0" w:leftChars="0" w:right="0" w:rightChars="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采购代理机构：云南梧桐建设工程管理有限公司</w:t>
            </w:r>
          </w:p>
          <w:p w14:paraId="494C032F">
            <w:pPr>
              <w:pStyle w:val="21"/>
              <w:shd w:val="clear" w:color="auto" w:fill="auto"/>
              <w:spacing w:line="36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玉溪分公司地址：玉溪市红塔区秀山路沙坝商务楼B座405</w:t>
            </w:r>
          </w:p>
          <w:p w14:paraId="2F5B6F29">
            <w:pPr>
              <w:pageBreakBefore w:val="0"/>
              <w:widowControl w:val="0"/>
              <w:kinsoku/>
              <w:overflowPunct/>
              <w:bidi w:val="0"/>
              <w:spacing w:beforeAutospacing="0" w:afterAutospacing="0" w:line="360" w:lineRule="auto"/>
              <w:ind w:left="0" w:leftChars="0" w:right="0" w:rightChars="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联系人：卜工</w:t>
            </w:r>
          </w:p>
          <w:p w14:paraId="45610B7D">
            <w:pPr>
              <w:widowControl/>
              <w:spacing w:line="360" w:lineRule="auto"/>
              <w:jc w:val="left"/>
              <w:rPr>
                <w:rFonts w:hint="eastAsia" w:ascii="宋体" w:hAnsi="宋体" w:eastAsia="宋体" w:cs="宋体"/>
                <w:color w:val="auto"/>
                <w:highlight w:val="none"/>
              </w:rPr>
            </w:pPr>
            <w:r>
              <w:rPr>
                <w:rFonts w:hint="eastAsia" w:ascii="宋体" w:hAnsi="宋体" w:eastAsia="宋体" w:cs="宋体"/>
                <w:color w:val="auto"/>
                <w:sz w:val="24"/>
                <w:szCs w:val="24"/>
                <w:highlight w:val="none"/>
                <w:lang w:val="en-US" w:eastAsia="zh-CN"/>
              </w:rPr>
              <w:t>联系电话：16687077797</w:t>
            </w:r>
          </w:p>
        </w:tc>
      </w:tr>
      <w:tr w14:paraId="4F674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atLeast"/>
          <w:jc w:val="center"/>
        </w:trPr>
        <w:tc>
          <w:tcPr>
            <w:tcW w:w="975" w:type="dxa"/>
            <w:vAlign w:val="center"/>
          </w:tcPr>
          <w:p w14:paraId="568E9926">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p>
        </w:tc>
        <w:tc>
          <w:tcPr>
            <w:tcW w:w="1750" w:type="dxa"/>
            <w:vAlign w:val="center"/>
          </w:tcPr>
          <w:p w14:paraId="6AD31E00">
            <w:pPr>
              <w:pStyle w:val="21"/>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项目名称及标段名称</w:t>
            </w:r>
          </w:p>
        </w:tc>
        <w:tc>
          <w:tcPr>
            <w:tcW w:w="6624" w:type="dxa"/>
            <w:vAlign w:val="center"/>
          </w:tcPr>
          <w:p w14:paraId="274285E0">
            <w:pPr>
              <w:pStyle w:val="21"/>
              <w:spacing w:line="360" w:lineRule="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val="en-US" w:eastAsia="zh-CN"/>
              </w:rPr>
              <w:t>项目名称：</w:t>
            </w:r>
            <w:r>
              <w:rPr>
                <w:rFonts w:hint="eastAsia" w:ascii="宋体" w:hAnsi="宋体" w:eastAsia="宋体" w:cs="宋体"/>
                <w:color w:val="auto"/>
                <w:kern w:val="0"/>
                <w:sz w:val="24"/>
                <w:szCs w:val="24"/>
                <w:highlight w:val="none"/>
                <w:lang w:eastAsia="zh-CN"/>
              </w:rPr>
              <w:t>玉溪职业技术学院（云南省玉溪工业财贸学校）改善办学条件采购项目</w:t>
            </w:r>
          </w:p>
          <w:p w14:paraId="6DAA60FA">
            <w:pPr>
              <w:pStyle w:val="21"/>
              <w:spacing w:line="360" w:lineRule="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标段号及名称：标段5 马克思主义学院红色文化建设项目</w:t>
            </w:r>
          </w:p>
        </w:tc>
      </w:tr>
      <w:tr w14:paraId="440D4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jc w:val="center"/>
        </w:trPr>
        <w:tc>
          <w:tcPr>
            <w:tcW w:w="975" w:type="dxa"/>
            <w:vAlign w:val="center"/>
          </w:tcPr>
          <w:p w14:paraId="2AEDFE66">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4</w:t>
            </w:r>
          </w:p>
        </w:tc>
        <w:tc>
          <w:tcPr>
            <w:tcW w:w="1750" w:type="dxa"/>
            <w:vAlign w:val="center"/>
          </w:tcPr>
          <w:p w14:paraId="2D493895">
            <w:pPr>
              <w:pStyle w:val="21"/>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预算金额（最高限价）</w:t>
            </w:r>
          </w:p>
        </w:tc>
        <w:tc>
          <w:tcPr>
            <w:tcW w:w="6624" w:type="dxa"/>
            <w:vAlign w:val="center"/>
          </w:tcPr>
          <w:p w14:paraId="4677494E">
            <w:pPr>
              <w:pStyle w:val="21"/>
              <w:spacing w:line="360" w:lineRule="auto"/>
              <w:rPr>
                <w:rFonts w:hint="eastAsia" w:ascii="宋体" w:hAnsi="宋体" w:eastAsia="宋体" w:cs="宋体"/>
                <w:b/>
                <w:bCs/>
                <w:color w:val="auto"/>
                <w:spacing w:val="0"/>
                <w:kern w:val="0"/>
                <w:sz w:val="24"/>
                <w:szCs w:val="24"/>
                <w:highlight w:val="none"/>
                <w:lang w:val="en-US" w:eastAsia="zh-CN" w:bidi="ar-SA"/>
              </w:rPr>
            </w:pPr>
            <w:r>
              <w:rPr>
                <w:rFonts w:hint="eastAsia" w:ascii="宋体" w:hAnsi="宋体" w:eastAsia="宋体" w:cs="宋体"/>
                <w:b/>
                <w:bCs/>
                <w:color w:val="auto"/>
                <w:spacing w:val="0"/>
                <w:kern w:val="0"/>
                <w:sz w:val="24"/>
                <w:szCs w:val="24"/>
                <w:highlight w:val="none"/>
                <w:lang w:val="en-US" w:eastAsia="zh-CN" w:bidi="ar-SA"/>
              </w:rPr>
              <w:t>小写:¥600000.00元；大写：人民币陆拾万元整。</w:t>
            </w:r>
          </w:p>
          <w:p w14:paraId="668F366A">
            <w:pPr>
              <w:pStyle w:val="21"/>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注：投标人的投标总价不能超过招标人公布的最高限价，否则按无效投标处理。</w:t>
            </w:r>
          </w:p>
        </w:tc>
      </w:tr>
      <w:tr w14:paraId="71F66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975" w:type="dxa"/>
            <w:vAlign w:val="center"/>
          </w:tcPr>
          <w:p w14:paraId="4F5B546E">
            <w:pPr>
              <w:pStyle w:val="21"/>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1750" w:type="dxa"/>
            <w:vAlign w:val="center"/>
          </w:tcPr>
          <w:p w14:paraId="57C772AE">
            <w:pPr>
              <w:pStyle w:val="21"/>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采购需求</w:t>
            </w:r>
          </w:p>
        </w:tc>
        <w:tc>
          <w:tcPr>
            <w:tcW w:w="6624" w:type="dxa"/>
            <w:vAlign w:val="center"/>
          </w:tcPr>
          <w:p w14:paraId="7ACDDE33">
            <w:pPr>
              <w:pStyle w:val="21"/>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完成马克思主义学院红色文化建设，具体内容详见第</w:t>
            </w:r>
            <w:r>
              <w:rPr>
                <w:rFonts w:hint="eastAsia" w:ascii="宋体" w:hAnsi="宋体" w:eastAsia="宋体" w:cs="宋体"/>
                <w:color w:val="auto"/>
                <w:kern w:val="0"/>
                <w:sz w:val="24"/>
                <w:szCs w:val="24"/>
                <w:highlight w:val="none"/>
                <w:lang w:val="en-US" w:eastAsia="zh-CN"/>
              </w:rPr>
              <w:t>四</w:t>
            </w:r>
            <w:r>
              <w:rPr>
                <w:rFonts w:hint="eastAsia" w:ascii="宋体" w:hAnsi="宋体" w:eastAsia="宋体" w:cs="宋体"/>
                <w:color w:val="auto"/>
                <w:kern w:val="0"/>
                <w:sz w:val="24"/>
                <w:szCs w:val="24"/>
                <w:highlight w:val="none"/>
              </w:rPr>
              <w:t>章“采购需求”。</w:t>
            </w:r>
          </w:p>
        </w:tc>
      </w:tr>
      <w:tr w14:paraId="40A17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75" w:type="dxa"/>
            <w:vAlign w:val="center"/>
          </w:tcPr>
          <w:p w14:paraId="49DE7F6B">
            <w:pPr>
              <w:pStyle w:val="21"/>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1750" w:type="dxa"/>
            <w:vAlign w:val="center"/>
          </w:tcPr>
          <w:p w14:paraId="7E5BBC79">
            <w:pPr>
              <w:pStyle w:val="21"/>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合同履行期限</w:t>
            </w:r>
          </w:p>
        </w:tc>
        <w:tc>
          <w:tcPr>
            <w:tcW w:w="6624" w:type="dxa"/>
          </w:tcPr>
          <w:p w14:paraId="5A9000A3">
            <w:pPr>
              <w:spacing w:line="480" w:lineRule="exac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highlight w:val="none"/>
                <w:lang w:eastAsia="zh-CN"/>
              </w:rPr>
              <w:t>自合同签订之日起90个日历天内完成实施</w:t>
            </w:r>
            <w:r>
              <w:rPr>
                <w:rFonts w:hint="eastAsia" w:ascii="宋体" w:hAnsi="宋体" w:eastAsia="宋体" w:cs="宋体"/>
                <w:color w:val="auto"/>
                <w:kern w:val="0"/>
                <w:sz w:val="24"/>
                <w:highlight w:val="none"/>
                <w:lang w:val="en-US" w:eastAsia="zh-CN"/>
              </w:rPr>
              <w:t>并交付使用</w:t>
            </w:r>
            <w:r>
              <w:rPr>
                <w:rFonts w:hint="eastAsia" w:ascii="宋体" w:hAnsi="宋体" w:eastAsia="宋体" w:cs="宋体"/>
                <w:color w:val="auto"/>
                <w:kern w:val="0"/>
                <w:sz w:val="24"/>
                <w:highlight w:val="none"/>
                <w:lang w:eastAsia="zh-CN"/>
              </w:rPr>
              <w:t>。</w:t>
            </w:r>
          </w:p>
        </w:tc>
      </w:tr>
      <w:tr w14:paraId="20979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75" w:type="dxa"/>
            <w:vAlign w:val="center"/>
          </w:tcPr>
          <w:p w14:paraId="09791DE7">
            <w:pPr>
              <w:pStyle w:val="21"/>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1750" w:type="dxa"/>
            <w:vAlign w:val="center"/>
          </w:tcPr>
          <w:p w14:paraId="49E55D5D">
            <w:pPr>
              <w:pStyle w:val="21"/>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项目实施地点</w:t>
            </w:r>
          </w:p>
        </w:tc>
        <w:tc>
          <w:tcPr>
            <w:tcW w:w="6624" w:type="dxa"/>
            <w:vAlign w:val="center"/>
          </w:tcPr>
          <w:p w14:paraId="5A6C69B8">
            <w:pPr>
              <w:pStyle w:val="21"/>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采购人指定地点。</w:t>
            </w:r>
          </w:p>
        </w:tc>
      </w:tr>
      <w:tr w14:paraId="7A166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75" w:type="dxa"/>
            <w:vAlign w:val="center"/>
          </w:tcPr>
          <w:p w14:paraId="1A92E14A">
            <w:pPr>
              <w:pStyle w:val="21"/>
              <w:spacing w:line="360" w:lineRule="auto"/>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w:t>
            </w:r>
          </w:p>
        </w:tc>
        <w:tc>
          <w:tcPr>
            <w:tcW w:w="1750" w:type="dxa"/>
            <w:vAlign w:val="center"/>
          </w:tcPr>
          <w:p w14:paraId="67F1F16C">
            <w:pPr>
              <w:pStyle w:val="21"/>
              <w:spacing w:line="360" w:lineRule="auto"/>
              <w:rPr>
                <w:rFonts w:hint="eastAsia" w:ascii="宋体" w:hAnsi="宋体" w:eastAsia="宋体" w:cs="宋体"/>
                <w:snapToGrid w:val="0"/>
                <w:color w:val="auto"/>
                <w:kern w:val="0"/>
                <w:sz w:val="24"/>
                <w:szCs w:val="24"/>
                <w:highlight w:val="none"/>
              </w:rPr>
            </w:pPr>
            <w:r>
              <w:rPr>
                <w:rFonts w:hint="eastAsia" w:ascii="宋体" w:hAnsi="宋体" w:eastAsia="宋体" w:cs="宋体"/>
                <w:snapToGrid w:val="0"/>
                <w:color w:val="auto"/>
                <w:kern w:val="0"/>
                <w:sz w:val="24"/>
                <w:szCs w:val="24"/>
                <w:highlight w:val="none"/>
              </w:rPr>
              <w:t>质量标准</w:t>
            </w:r>
          </w:p>
        </w:tc>
        <w:tc>
          <w:tcPr>
            <w:tcW w:w="6624" w:type="dxa"/>
          </w:tcPr>
          <w:p w14:paraId="1F96E67E">
            <w:pPr>
              <w:widowControl/>
              <w:spacing w:line="360" w:lineRule="auto"/>
              <w:jc w:val="left"/>
              <w:rPr>
                <w:rFonts w:hint="eastAsia" w:ascii="宋体" w:hAnsi="宋体" w:eastAsia="宋体" w:cs="宋体"/>
                <w:snapToGrid w:val="0"/>
                <w:color w:val="auto"/>
                <w:kern w:val="0"/>
                <w:sz w:val="24"/>
                <w:highlight w:val="none"/>
              </w:rPr>
            </w:pPr>
            <w:r>
              <w:rPr>
                <w:rFonts w:hint="eastAsia" w:ascii="宋体" w:hAnsi="宋体" w:eastAsia="宋体" w:cs="宋体"/>
                <w:color w:val="auto"/>
                <w:kern w:val="0"/>
                <w:sz w:val="24"/>
                <w:highlight w:val="none"/>
              </w:rPr>
              <w:t>严格执行国家、地方及行业现行相关标准、规范要求，符合采购需求及采购人要求。</w:t>
            </w:r>
          </w:p>
        </w:tc>
      </w:tr>
      <w:tr w14:paraId="0B090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975" w:type="dxa"/>
            <w:shd w:val="clear" w:color="auto" w:fill="auto"/>
            <w:vAlign w:val="center"/>
          </w:tcPr>
          <w:p w14:paraId="0050F88E">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9</w:t>
            </w:r>
          </w:p>
        </w:tc>
        <w:tc>
          <w:tcPr>
            <w:tcW w:w="1750" w:type="dxa"/>
            <w:vAlign w:val="center"/>
          </w:tcPr>
          <w:p w14:paraId="7EF9C381">
            <w:pPr>
              <w:pStyle w:val="21"/>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合格的投标人</w:t>
            </w:r>
          </w:p>
        </w:tc>
        <w:tc>
          <w:tcPr>
            <w:tcW w:w="6624" w:type="dxa"/>
          </w:tcPr>
          <w:p w14:paraId="06FBB315">
            <w:pPr>
              <w:spacing w:line="480" w:lineRule="exact"/>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（一）满足《中华人民共和国政府采购法》第二十二条规定，提供下列资料：</w:t>
            </w:r>
          </w:p>
          <w:p w14:paraId="5F8B8AE3">
            <w:pPr>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w:t>
            </w:r>
            <w:r>
              <w:rPr>
                <w:rFonts w:hint="eastAsia" w:ascii="宋体" w:hAnsi="宋体" w:eastAsia="宋体" w:cs="宋体"/>
                <w:color w:val="auto"/>
                <w:sz w:val="24"/>
                <w:szCs w:val="21"/>
                <w:highlight w:val="none"/>
              </w:rPr>
              <w:t>具有独立承担民事责任的能力（提供有效的营业执照或其他组织证明或自然人身份证明）；</w:t>
            </w:r>
          </w:p>
          <w:p w14:paraId="04CC955F">
            <w:pPr>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w:t>
            </w:r>
            <w:r>
              <w:rPr>
                <w:rFonts w:hint="eastAsia" w:ascii="宋体" w:hAnsi="宋体" w:eastAsia="宋体" w:cs="宋体"/>
                <w:color w:val="auto"/>
                <w:sz w:val="24"/>
                <w:szCs w:val="21"/>
                <w:highlight w:val="none"/>
              </w:rPr>
              <w:t>具有良好的商业信誉和健全的财务会计制度（提供202</w:t>
            </w:r>
            <w:r>
              <w:rPr>
                <w:rFonts w:hint="eastAsia" w:ascii="宋体" w:hAnsi="宋体" w:eastAsia="宋体" w:cs="宋体"/>
                <w:color w:val="auto"/>
                <w:sz w:val="24"/>
                <w:szCs w:val="21"/>
                <w:highlight w:val="none"/>
                <w:lang w:val="en-US" w:eastAsia="zh-CN"/>
              </w:rPr>
              <w:t>3</w:t>
            </w:r>
            <w:r>
              <w:rPr>
                <w:rFonts w:hint="eastAsia" w:ascii="宋体" w:hAnsi="宋体" w:eastAsia="宋体" w:cs="宋体"/>
                <w:color w:val="auto"/>
                <w:sz w:val="24"/>
                <w:szCs w:val="21"/>
                <w:highlight w:val="none"/>
              </w:rPr>
              <w:t>年至今任意一年的财务报表或经第三方审计的财务报告（包括资产负债表、现金流量表、利润表或损益表及会计报表附注），新成立的提供成立至本项目公告发布前一个月的财务报表或开户银行出具的资信证明或资金存款证明）；</w:t>
            </w:r>
          </w:p>
          <w:p w14:paraId="2580FA95">
            <w:pPr>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w:t>
            </w:r>
            <w:r>
              <w:rPr>
                <w:rFonts w:hint="eastAsia" w:ascii="宋体" w:hAnsi="宋体" w:eastAsia="宋体" w:cs="宋体"/>
                <w:color w:val="auto"/>
                <w:sz w:val="24"/>
                <w:szCs w:val="21"/>
                <w:highlight w:val="none"/>
              </w:rPr>
              <w:t>具有履行合同所必需的设备和专业技术能力（提供相关证明材料或承诺）；</w:t>
            </w:r>
          </w:p>
          <w:p w14:paraId="0E2926CF">
            <w:pPr>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4.</w:t>
            </w:r>
            <w:r>
              <w:rPr>
                <w:rFonts w:hint="eastAsia" w:ascii="宋体" w:hAnsi="宋体" w:eastAsia="宋体" w:cs="宋体"/>
                <w:color w:val="auto"/>
                <w:sz w:val="24"/>
                <w:szCs w:val="21"/>
                <w:highlight w:val="none"/>
              </w:rPr>
              <w:t>有依法缴纳税收和社会保障资金的良好记录（提供202</w:t>
            </w:r>
            <w:r>
              <w:rPr>
                <w:rFonts w:hint="eastAsia" w:ascii="宋体" w:hAnsi="宋体" w:eastAsia="宋体" w:cs="宋体"/>
                <w:color w:val="auto"/>
                <w:sz w:val="24"/>
                <w:szCs w:val="21"/>
                <w:highlight w:val="none"/>
                <w:lang w:val="en-US" w:eastAsia="zh-CN"/>
              </w:rPr>
              <w:t>5</w:t>
            </w:r>
            <w:r>
              <w:rPr>
                <w:rFonts w:hint="eastAsia" w:ascii="宋体" w:hAnsi="宋体" w:eastAsia="宋体" w:cs="宋体"/>
                <w:color w:val="auto"/>
                <w:sz w:val="24"/>
                <w:szCs w:val="21"/>
                <w:highlight w:val="none"/>
              </w:rPr>
              <w:t>年6月至采购截止时间前任意3个月依法缴纳税收和缴纳社会保障资金的证明（新成立公司提供已有资料，如依法免税或不需要缴纳社会保障资金的，应提供相应文件证明）；</w:t>
            </w:r>
          </w:p>
          <w:p w14:paraId="6ECDD0BA">
            <w:pPr>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5.</w:t>
            </w:r>
            <w:r>
              <w:rPr>
                <w:rFonts w:hint="eastAsia" w:ascii="宋体" w:hAnsi="宋体" w:eastAsia="宋体" w:cs="宋体"/>
                <w:color w:val="auto"/>
                <w:sz w:val="24"/>
                <w:szCs w:val="21"/>
                <w:highlight w:val="none"/>
              </w:rPr>
              <w:t>参加政府采购活动前三年内，在经营活动中没有重大违法记录（提供书面声明）；</w:t>
            </w:r>
          </w:p>
          <w:p w14:paraId="1EF6CD99">
            <w:pPr>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6.法律、行政法规规定的其他条件。</w:t>
            </w:r>
          </w:p>
          <w:p w14:paraId="342B1BBE">
            <w:pPr>
              <w:spacing w:line="360" w:lineRule="auto"/>
              <w:ind w:firstLine="720" w:firstLineChars="3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单位负责人为同一人或者存在直接控股、管理关系的不同投标人，不得参加同一合同项下的政府采购活动。为采购项目提供整体设计、规范编制或者项目管理、监理、检测等服务的投标人，不得再参加该采购项目的其他采购活动。</w:t>
            </w:r>
          </w:p>
          <w:p w14:paraId="551E9BAB">
            <w:pPr>
              <w:adjustRightInd w:val="0"/>
              <w:snapToGrid w:val="0"/>
              <w:spacing w:line="360" w:lineRule="auto"/>
              <w:ind w:firstLine="720" w:firstLineChars="300"/>
              <w:rPr>
                <w:rFonts w:hint="eastAsia" w:ascii="宋体" w:hAnsi="宋体" w:eastAsia="宋体" w:cs="宋体"/>
                <w:color w:val="auto"/>
                <w:sz w:val="24"/>
                <w:szCs w:val="21"/>
                <w:highlight w:val="none"/>
              </w:rPr>
            </w:pPr>
            <w:r>
              <w:rPr>
                <w:rFonts w:hint="eastAsia" w:ascii="宋体" w:hAnsi="宋体" w:eastAsia="宋体" w:cs="宋体"/>
                <w:color w:val="auto"/>
                <w:kern w:val="0"/>
                <w:sz w:val="24"/>
                <w:highlight w:val="none"/>
              </w:rPr>
              <w:t>（2）</w:t>
            </w:r>
            <w:r>
              <w:rPr>
                <w:rFonts w:hint="eastAsia" w:ascii="宋体" w:hAnsi="宋体" w:eastAsia="宋体" w:cs="宋体"/>
                <w:color w:val="auto"/>
                <w:sz w:val="24"/>
                <w:szCs w:val="21"/>
                <w:highlight w:val="none"/>
              </w:rPr>
              <w:t>投标人不得被“信用中国”网站（www.creditchina.gov.cn）列入失信被执行人或重大税收违法案件当事人名单、不得为“中国政府采购网”（www.ccgp.gov.cn）政府采购严重违法失信行为记录名单中被财政部门禁止参加政府采购活动的投标人（处罚决定规定的时间和地域范围内）（信誉查询时间截点：本项目采购公告发布之日起至投标文件递交截止时间止。代理机构在投标文件递交截止时间止对潜在投标人信誉情况进行查询，并交由评标委员会进行复核评审）。</w:t>
            </w:r>
          </w:p>
          <w:p w14:paraId="46068F68">
            <w:pPr>
              <w:adjustRightInd w:val="0"/>
              <w:snapToGrid w:val="0"/>
              <w:spacing w:line="360" w:lineRule="auto"/>
              <w:jc w:val="left"/>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（二）落实政府采购政策需满足的资格要求：</w:t>
            </w:r>
          </w:p>
          <w:p w14:paraId="1A881B24">
            <w:pPr>
              <w:adjustRightInd w:val="0"/>
              <w:snapToGrid w:val="0"/>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本项目专门面向中小型企业采购，投标人应为中小企业，或监狱企业，或残疾人福利性单位，本项目不再执行价格评审优惠的扶持政策。根据《关于印发中小企业划型标准规定的通知》（工信部联企业〔2011〕300号）文件规定的划分标准，本项目对应的中小企业划分标准所属行业为：</w:t>
            </w:r>
            <w:r>
              <w:rPr>
                <w:rFonts w:hint="eastAsia" w:ascii="宋体" w:hAnsi="宋体" w:eastAsia="宋体" w:cs="宋体"/>
                <w:color w:val="auto"/>
                <w:sz w:val="24"/>
                <w:highlight w:val="none"/>
                <w:u w:val="single"/>
                <w:lang w:val="en-US" w:eastAsia="zh-CN"/>
              </w:rPr>
              <w:t>软件和信息技术服务业。</w:t>
            </w:r>
          </w:p>
          <w:p w14:paraId="656F7D49">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auto"/>
                <w:highlight w:val="none"/>
                <w:lang w:eastAsia="zh-CN"/>
              </w:rPr>
            </w:pPr>
            <w:r>
              <w:rPr>
                <w:rFonts w:hint="eastAsia" w:ascii="宋体" w:hAnsi="宋体" w:eastAsia="宋体" w:cs="宋体"/>
                <w:b/>
                <w:bCs/>
                <w:color w:val="auto"/>
                <w:sz w:val="24"/>
                <w:szCs w:val="21"/>
                <w:highlight w:val="none"/>
              </w:rPr>
              <w:t>（三）本项目特定资格要求：</w:t>
            </w:r>
            <w:r>
              <w:rPr>
                <w:rFonts w:hint="eastAsia" w:ascii="宋体" w:hAnsi="宋体" w:eastAsia="宋体" w:cs="宋体"/>
                <w:b w:val="0"/>
                <w:bCs w:val="0"/>
                <w:color w:val="auto"/>
                <w:sz w:val="24"/>
                <w:szCs w:val="21"/>
                <w:highlight w:val="none"/>
                <w:lang w:val="en-US" w:eastAsia="zh-CN"/>
              </w:rPr>
              <w:t>无</w:t>
            </w:r>
          </w:p>
        </w:tc>
      </w:tr>
      <w:tr w14:paraId="3EA91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75" w:type="dxa"/>
            <w:shd w:val="clear" w:color="auto" w:fill="auto"/>
            <w:vAlign w:val="center"/>
          </w:tcPr>
          <w:p w14:paraId="2D8CFDAC">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10</w:t>
            </w:r>
          </w:p>
        </w:tc>
        <w:tc>
          <w:tcPr>
            <w:tcW w:w="1750" w:type="dxa"/>
            <w:vAlign w:val="center"/>
          </w:tcPr>
          <w:p w14:paraId="0C23F055">
            <w:pPr>
              <w:pStyle w:val="21"/>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是否接受联合体投标</w:t>
            </w:r>
          </w:p>
        </w:tc>
        <w:tc>
          <w:tcPr>
            <w:tcW w:w="6624" w:type="dxa"/>
            <w:vAlign w:val="center"/>
          </w:tcPr>
          <w:p w14:paraId="1D70F0E0">
            <w:pPr>
              <w:pStyle w:val="21"/>
              <w:spacing w:line="360" w:lineRule="auto"/>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fldChar w:fldCharType="begin"/>
            </w:r>
            <w:r>
              <w:rPr>
                <w:rFonts w:hint="eastAsia" w:ascii="宋体" w:hAnsi="宋体" w:eastAsia="宋体" w:cs="宋体"/>
                <w:b/>
                <w:color w:val="auto"/>
                <w:sz w:val="24"/>
                <w:szCs w:val="24"/>
                <w:highlight w:val="none"/>
              </w:rPr>
              <w:instrText xml:space="preserve"> EQ \o(□,√)</w:instrText>
            </w:r>
            <w:r>
              <w:rPr>
                <w:rFonts w:hint="eastAsia" w:ascii="宋体" w:hAnsi="宋体" w:eastAsia="宋体" w:cs="宋体"/>
                <w:b/>
                <w:color w:val="auto"/>
                <w:sz w:val="24"/>
                <w:szCs w:val="24"/>
                <w:highlight w:val="none"/>
              </w:rPr>
              <w:fldChar w:fldCharType="end"/>
            </w:r>
            <w:r>
              <w:rPr>
                <w:rFonts w:hint="eastAsia" w:ascii="宋体" w:hAnsi="宋体" w:eastAsia="宋体" w:cs="宋体"/>
                <w:color w:val="auto"/>
                <w:sz w:val="24"/>
                <w:szCs w:val="24"/>
                <w:highlight w:val="none"/>
              </w:rPr>
              <w:t>不接受      □接受</w:t>
            </w:r>
          </w:p>
        </w:tc>
      </w:tr>
      <w:tr w14:paraId="33F53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75" w:type="dxa"/>
            <w:shd w:val="clear" w:color="auto" w:fill="auto"/>
            <w:vAlign w:val="center"/>
          </w:tcPr>
          <w:p w14:paraId="4A031A04">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11</w:t>
            </w:r>
          </w:p>
        </w:tc>
        <w:tc>
          <w:tcPr>
            <w:tcW w:w="1750" w:type="dxa"/>
            <w:vAlign w:val="center"/>
          </w:tcPr>
          <w:p w14:paraId="3CB212B8">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投标人提出问题的截止时间和方法</w:t>
            </w:r>
          </w:p>
        </w:tc>
        <w:tc>
          <w:tcPr>
            <w:tcW w:w="6624" w:type="dxa"/>
          </w:tcPr>
          <w:p w14:paraId="4900B106">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[详见附件 (项目名称)招标文件有关时间安排］，即在投标截止时间10日前，所有获取了招标文件的潜在投标人通过线上方式进行提问。</w:t>
            </w:r>
          </w:p>
        </w:tc>
      </w:tr>
      <w:tr w14:paraId="387FB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975" w:type="dxa"/>
            <w:shd w:val="clear" w:color="auto" w:fill="auto"/>
            <w:vAlign w:val="center"/>
          </w:tcPr>
          <w:p w14:paraId="34CF51F5">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12</w:t>
            </w:r>
          </w:p>
        </w:tc>
        <w:tc>
          <w:tcPr>
            <w:tcW w:w="1750" w:type="dxa"/>
            <w:vAlign w:val="center"/>
          </w:tcPr>
          <w:p w14:paraId="51491005">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采购人澄清的时间和方法</w:t>
            </w:r>
          </w:p>
        </w:tc>
        <w:tc>
          <w:tcPr>
            <w:tcW w:w="6624" w:type="dxa"/>
          </w:tcPr>
          <w:p w14:paraId="0687B747">
            <w:pPr>
              <w:spacing w:line="360" w:lineRule="auto"/>
              <w:rPr>
                <w:rFonts w:hint="eastAsia" w:ascii="宋体" w:hAnsi="宋体" w:eastAsia="宋体" w:cs="宋体"/>
                <w:color w:val="auto"/>
                <w:highlight w:val="none"/>
              </w:rPr>
            </w:pPr>
            <w:r>
              <w:rPr>
                <w:rFonts w:hint="eastAsia" w:ascii="宋体" w:hAnsi="宋体" w:eastAsia="宋体" w:cs="宋体"/>
                <w:color w:val="auto"/>
                <w:sz w:val="24"/>
                <w:highlight w:val="none"/>
                <w:shd w:val="clear" w:color="auto" w:fill="FFFFFF"/>
              </w:rPr>
              <w:t>提交首次投标文件截止之日前，采购人、采购代理机构可以对已发出的投标文件进行必要的澄清或者修改，澄清或者修改的内容作为投标文件的组成部分。澄清或者修改的内容可能影响投标文件编制的，采购人、采购代理机构应当在提交首次投标文件截止时间至少15日前，以线上形式通知所有获取投标文件的</w:t>
            </w:r>
            <w:r>
              <w:rPr>
                <w:rFonts w:hint="eastAsia" w:ascii="宋体" w:hAnsi="宋体" w:eastAsia="宋体" w:cs="宋体"/>
                <w:color w:val="auto"/>
                <w:sz w:val="24"/>
                <w:highlight w:val="none"/>
                <w:shd w:val="clear" w:color="auto" w:fill="FFFFFF"/>
                <w:lang w:eastAsia="zh-CN"/>
              </w:rPr>
              <w:t>投标人</w:t>
            </w:r>
            <w:r>
              <w:rPr>
                <w:rFonts w:hint="eastAsia" w:ascii="宋体" w:hAnsi="宋体" w:eastAsia="宋体" w:cs="宋体"/>
                <w:color w:val="auto"/>
                <w:sz w:val="24"/>
                <w:highlight w:val="none"/>
                <w:shd w:val="clear" w:color="auto" w:fill="FFFFFF"/>
              </w:rPr>
              <w:t>；不足15日的，采购人、采购代理机构应当顺延提交首次投标文件截止时间。</w:t>
            </w:r>
          </w:p>
        </w:tc>
      </w:tr>
      <w:tr w14:paraId="62D1E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75" w:type="dxa"/>
            <w:shd w:val="clear" w:color="auto" w:fill="auto"/>
            <w:vAlign w:val="center"/>
          </w:tcPr>
          <w:p w14:paraId="179EF659">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13</w:t>
            </w:r>
          </w:p>
        </w:tc>
        <w:tc>
          <w:tcPr>
            <w:tcW w:w="1750" w:type="dxa"/>
            <w:vAlign w:val="center"/>
          </w:tcPr>
          <w:p w14:paraId="6434A38B">
            <w:pPr>
              <w:spacing w:line="360" w:lineRule="auto"/>
              <w:rPr>
                <w:rFonts w:hint="eastAsia" w:ascii="宋体" w:hAnsi="宋体" w:eastAsia="宋体" w:cs="宋体"/>
                <w:color w:val="auto"/>
                <w:sz w:val="24"/>
                <w:highlight w:val="none"/>
                <w:shd w:val="clear" w:color="auto" w:fill="FFFFFF"/>
              </w:rPr>
            </w:pPr>
            <w:r>
              <w:rPr>
                <w:rFonts w:hint="eastAsia" w:ascii="宋体" w:hAnsi="宋体" w:eastAsia="宋体" w:cs="宋体"/>
                <w:color w:val="auto"/>
                <w:sz w:val="24"/>
                <w:highlight w:val="none"/>
                <w:shd w:val="clear" w:color="auto" w:fill="FFFFFF"/>
              </w:rPr>
              <w:t>投标文件签署</w:t>
            </w:r>
          </w:p>
        </w:tc>
        <w:tc>
          <w:tcPr>
            <w:tcW w:w="6624" w:type="dxa"/>
            <w:vAlign w:val="center"/>
          </w:tcPr>
          <w:p w14:paraId="0E2DDCF7">
            <w:pPr>
              <w:spacing w:line="360" w:lineRule="auto"/>
              <w:rPr>
                <w:rFonts w:hint="eastAsia" w:ascii="宋体" w:hAnsi="宋体" w:eastAsia="宋体" w:cs="宋体"/>
                <w:color w:val="auto"/>
                <w:sz w:val="24"/>
                <w:highlight w:val="none"/>
                <w:shd w:val="clear" w:color="auto" w:fill="FFFFFF"/>
              </w:rPr>
            </w:pPr>
            <w:r>
              <w:rPr>
                <w:rFonts w:hint="eastAsia" w:ascii="宋体" w:hAnsi="宋体" w:eastAsia="宋体" w:cs="宋体"/>
                <w:color w:val="auto"/>
                <w:sz w:val="24"/>
                <w:highlight w:val="none"/>
                <w:shd w:val="clear" w:color="auto" w:fill="FFFFFF"/>
              </w:rPr>
              <w:t>按“政采云”要求，上传电子响应文件壹份。</w:t>
            </w:r>
          </w:p>
          <w:p w14:paraId="025328D1">
            <w:pPr>
              <w:spacing w:line="360" w:lineRule="auto"/>
              <w:rPr>
                <w:rFonts w:hint="eastAsia" w:ascii="宋体" w:hAnsi="宋体" w:eastAsia="宋体" w:cs="宋体"/>
                <w:color w:val="auto"/>
                <w:sz w:val="24"/>
                <w:highlight w:val="none"/>
                <w:shd w:val="clear" w:color="auto" w:fill="FFFFFF"/>
              </w:rPr>
            </w:pPr>
            <w:r>
              <w:rPr>
                <w:rFonts w:hint="eastAsia" w:ascii="宋体" w:hAnsi="宋体" w:eastAsia="宋体" w:cs="宋体"/>
                <w:color w:val="auto"/>
                <w:sz w:val="24"/>
                <w:highlight w:val="none"/>
                <w:shd w:val="clear" w:color="auto" w:fill="FFFFFF"/>
              </w:rPr>
              <w:t>响应文件编制完成后须用云南CA按格式进行电子签章，在所要求的位置有法定代表人(单位负责人)或其委托代理人电子签名或电子签章，均使用云南CA按格式进行电子签章，联合体参加采购的除格式要求外，可由联合体牵头单位签署。</w:t>
            </w:r>
          </w:p>
        </w:tc>
      </w:tr>
      <w:tr w14:paraId="238E3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75" w:type="dxa"/>
            <w:shd w:val="clear" w:color="auto" w:fill="auto"/>
            <w:vAlign w:val="center"/>
          </w:tcPr>
          <w:p w14:paraId="686B65F7">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14</w:t>
            </w:r>
          </w:p>
        </w:tc>
        <w:tc>
          <w:tcPr>
            <w:tcW w:w="1750" w:type="dxa"/>
            <w:vAlign w:val="center"/>
          </w:tcPr>
          <w:p w14:paraId="088B5CD0">
            <w:pPr>
              <w:spacing w:line="360" w:lineRule="auto"/>
              <w:rPr>
                <w:rFonts w:hint="eastAsia" w:ascii="宋体" w:hAnsi="宋体" w:eastAsia="宋体" w:cs="宋体"/>
                <w:color w:val="auto"/>
                <w:sz w:val="24"/>
                <w:highlight w:val="none"/>
                <w:shd w:val="clear" w:color="auto" w:fill="FFFFFF"/>
              </w:rPr>
            </w:pPr>
            <w:r>
              <w:rPr>
                <w:rFonts w:hint="eastAsia" w:ascii="宋体" w:hAnsi="宋体" w:eastAsia="宋体" w:cs="宋体"/>
                <w:color w:val="auto"/>
                <w:sz w:val="24"/>
                <w:highlight w:val="none"/>
                <w:shd w:val="clear" w:color="auto" w:fill="FFFFFF"/>
              </w:rPr>
              <w:t>响应文件加密要求</w:t>
            </w:r>
          </w:p>
        </w:tc>
        <w:tc>
          <w:tcPr>
            <w:tcW w:w="6624" w:type="dxa"/>
            <w:vAlign w:val="center"/>
          </w:tcPr>
          <w:p w14:paraId="6DBC5BE1">
            <w:pPr>
              <w:spacing w:line="360" w:lineRule="auto"/>
              <w:rPr>
                <w:rFonts w:hint="eastAsia" w:ascii="宋体" w:hAnsi="宋体" w:eastAsia="宋体" w:cs="宋体"/>
                <w:color w:val="auto"/>
                <w:sz w:val="24"/>
                <w:highlight w:val="none"/>
                <w:shd w:val="clear" w:color="auto" w:fill="FFFFFF"/>
              </w:rPr>
            </w:pPr>
            <w:r>
              <w:rPr>
                <w:rFonts w:hint="eastAsia" w:ascii="宋体" w:hAnsi="宋体" w:eastAsia="宋体" w:cs="宋体"/>
                <w:color w:val="auto"/>
                <w:sz w:val="24"/>
                <w:highlight w:val="none"/>
                <w:shd w:val="clear" w:color="auto" w:fill="FFFFFF"/>
              </w:rPr>
              <w:t>CA锁加密</w:t>
            </w:r>
          </w:p>
        </w:tc>
      </w:tr>
      <w:tr w14:paraId="3FF90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975" w:type="dxa"/>
            <w:shd w:val="clear" w:color="auto" w:fill="auto"/>
            <w:vAlign w:val="center"/>
          </w:tcPr>
          <w:p w14:paraId="6939F184">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15</w:t>
            </w:r>
          </w:p>
        </w:tc>
        <w:tc>
          <w:tcPr>
            <w:tcW w:w="1750" w:type="dxa"/>
            <w:vAlign w:val="center"/>
          </w:tcPr>
          <w:p w14:paraId="149A0440">
            <w:pPr>
              <w:autoSpaceDE w:val="0"/>
              <w:autoSpaceDN w:val="0"/>
              <w:snapToGrid w:val="0"/>
              <w:spacing w:line="360" w:lineRule="auto"/>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实质性要求和条件</w:t>
            </w:r>
          </w:p>
        </w:tc>
        <w:tc>
          <w:tcPr>
            <w:tcW w:w="6624" w:type="dxa"/>
            <w:vAlign w:val="center"/>
          </w:tcPr>
          <w:p w14:paraId="7E670B01">
            <w:pPr>
              <w:autoSpaceDE w:val="0"/>
              <w:autoSpaceDN w:val="0"/>
              <w:snapToGrid w:val="0"/>
              <w:spacing w:line="360" w:lineRule="auto"/>
              <w:textAlignment w:val="bottom"/>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招标文件中的实质性条款，不满足的将导致投标无效。</w:t>
            </w:r>
          </w:p>
        </w:tc>
      </w:tr>
      <w:tr w14:paraId="16BDF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975" w:type="dxa"/>
            <w:shd w:val="clear" w:color="auto" w:fill="auto"/>
            <w:vAlign w:val="center"/>
          </w:tcPr>
          <w:p w14:paraId="1AA97DF7">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16</w:t>
            </w:r>
          </w:p>
        </w:tc>
        <w:tc>
          <w:tcPr>
            <w:tcW w:w="1750" w:type="dxa"/>
            <w:vAlign w:val="center"/>
          </w:tcPr>
          <w:p w14:paraId="2D113F1C">
            <w:pPr>
              <w:autoSpaceDE w:val="0"/>
              <w:autoSpaceDN w:val="0"/>
              <w:snapToGrid w:val="0"/>
              <w:spacing w:line="360" w:lineRule="auto"/>
              <w:textAlignment w:val="bottom"/>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构成投标文件的其他资料</w:t>
            </w:r>
          </w:p>
        </w:tc>
        <w:tc>
          <w:tcPr>
            <w:tcW w:w="6624" w:type="dxa"/>
            <w:vAlign w:val="center"/>
          </w:tcPr>
          <w:p w14:paraId="0955A8EB">
            <w:pPr>
              <w:autoSpaceDE w:val="0"/>
              <w:autoSpaceDN w:val="0"/>
              <w:snapToGrid w:val="0"/>
              <w:spacing w:line="360" w:lineRule="auto"/>
              <w:textAlignment w:val="bottom"/>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（1）第</w:t>
            </w:r>
            <w:r>
              <w:rPr>
                <w:rFonts w:hint="eastAsia" w:ascii="宋体" w:hAnsi="宋体" w:eastAsia="宋体" w:cs="宋体"/>
                <w:bCs/>
                <w:color w:val="auto"/>
                <w:sz w:val="24"/>
                <w:highlight w:val="none"/>
                <w:lang w:val="en-US" w:eastAsia="zh-CN"/>
              </w:rPr>
              <w:t>四</w:t>
            </w:r>
            <w:r>
              <w:rPr>
                <w:rFonts w:hint="eastAsia" w:ascii="宋体" w:hAnsi="宋体" w:eastAsia="宋体" w:cs="宋体"/>
                <w:bCs/>
                <w:color w:val="auto"/>
                <w:sz w:val="24"/>
                <w:highlight w:val="none"/>
              </w:rPr>
              <w:t>章“采购需求”中要求提供的其他资料；</w:t>
            </w:r>
          </w:p>
          <w:p w14:paraId="7E018E67">
            <w:pPr>
              <w:autoSpaceDE w:val="0"/>
              <w:autoSpaceDN w:val="0"/>
              <w:snapToGrid w:val="0"/>
              <w:spacing w:line="360" w:lineRule="auto"/>
              <w:textAlignment w:val="bottom"/>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（2）招标文件中所涉及到的相关资料及证明文件或投标人认为必须提供的其他相关资料。</w:t>
            </w:r>
          </w:p>
        </w:tc>
      </w:tr>
      <w:tr w14:paraId="38C61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75" w:type="dxa"/>
            <w:shd w:val="clear" w:color="auto" w:fill="auto"/>
            <w:vAlign w:val="center"/>
          </w:tcPr>
          <w:p w14:paraId="21D2A5E2">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17</w:t>
            </w:r>
          </w:p>
        </w:tc>
        <w:tc>
          <w:tcPr>
            <w:tcW w:w="1750" w:type="dxa"/>
            <w:vAlign w:val="center"/>
          </w:tcPr>
          <w:p w14:paraId="060250DD">
            <w:pPr>
              <w:pStyle w:val="21"/>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投标有效期</w:t>
            </w:r>
          </w:p>
        </w:tc>
        <w:tc>
          <w:tcPr>
            <w:tcW w:w="6624" w:type="dxa"/>
            <w:vAlign w:val="center"/>
          </w:tcPr>
          <w:p w14:paraId="2E0CF6EF">
            <w:pPr>
              <w:pStyle w:val="21"/>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投标截止日期后</w:t>
            </w:r>
            <w:r>
              <w:rPr>
                <w:rFonts w:hint="eastAsia" w:ascii="宋体" w:hAnsi="宋体" w:eastAsia="宋体" w:cs="宋体"/>
                <w:color w:val="auto"/>
                <w:sz w:val="24"/>
                <w:szCs w:val="24"/>
                <w:highlight w:val="none"/>
                <w:u w:val="single"/>
              </w:rPr>
              <w:t>90</w:t>
            </w:r>
            <w:r>
              <w:rPr>
                <w:rFonts w:hint="eastAsia" w:ascii="宋体" w:hAnsi="宋体" w:eastAsia="宋体" w:cs="宋体"/>
                <w:color w:val="auto"/>
                <w:sz w:val="24"/>
                <w:szCs w:val="24"/>
                <w:highlight w:val="none"/>
                <w:lang w:val="en-US" w:eastAsia="zh-CN"/>
              </w:rPr>
              <w:t>日历天。</w:t>
            </w:r>
          </w:p>
        </w:tc>
      </w:tr>
      <w:tr w14:paraId="661A4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75" w:type="dxa"/>
            <w:shd w:val="clear" w:color="auto" w:fill="auto"/>
            <w:vAlign w:val="center"/>
          </w:tcPr>
          <w:p w14:paraId="539715F3">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18</w:t>
            </w:r>
          </w:p>
        </w:tc>
        <w:tc>
          <w:tcPr>
            <w:tcW w:w="1750" w:type="dxa"/>
            <w:vAlign w:val="center"/>
          </w:tcPr>
          <w:p w14:paraId="726C48E5">
            <w:pPr>
              <w:autoSpaceDE w:val="0"/>
              <w:autoSpaceDN w:val="0"/>
              <w:snapToGrid w:val="0"/>
              <w:spacing w:line="360" w:lineRule="auto"/>
              <w:textAlignment w:val="bottom"/>
              <w:rPr>
                <w:rFonts w:hint="eastAsia" w:ascii="宋体" w:hAnsi="宋体" w:eastAsia="宋体" w:cs="宋体"/>
                <w:bCs/>
                <w:color w:val="auto"/>
                <w:sz w:val="24"/>
                <w:highlight w:val="none"/>
              </w:rPr>
            </w:pPr>
            <w:r>
              <w:rPr>
                <w:rFonts w:hint="eastAsia" w:ascii="宋体" w:hAnsi="宋体" w:eastAsia="宋体" w:cs="宋体"/>
                <w:b/>
                <w:bCs w:val="0"/>
                <w:color w:val="auto"/>
                <w:sz w:val="24"/>
                <w:highlight w:val="none"/>
              </w:rPr>
              <w:t>投标文件递交截止时间</w:t>
            </w:r>
          </w:p>
        </w:tc>
        <w:tc>
          <w:tcPr>
            <w:tcW w:w="6624" w:type="dxa"/>
            <w:vAlign w:val="center"/>
          </w:tcPr>
          <w:p w14:paraId="0182E6D4">
            <w:pPr>
              <w:autoSpaceDE w:val="0"/>
              <w:autoSpaceDN w:val="0"/>
              <w:snapToGrid w:val="0"/>
              <w:spacing w:line="360" w:lineRule="auto"/>
              <w:textAlignment w:val="bottom"/>
              <w:rPr>
                <w:rFonts w:hint="eastAsia" w:ascii="宋体" w:hAnsi="宋体" w:eastAsia="宋体" w:cs="宋体"/>
                <w:bCs/>
                <w:color w:val="auto"/>
                <w:sz w:val="24"/>
                <w:highlight w:val="none"/>
                <w:lang w:val="en-US" w:eastAsia="zh-CN"/>
              </w:rPr>
            </w:pPr>
            <w:r>
              <w:rPr>
                <w:rFonts w:hint="eastAsia" w:ascii="宋体" w:hAnsi="宋体" w:eastAsia="宋体" w:cs="宋体"/>
                <w:b/>
                <w:color w:val="auto"/>
                <w:sz w:val="24"/>
                <w:highlight w:val="none"/>
              </w:rPr>
              <w:t>2</w:t>
            </w:r>
            <w:r>
              <w:rPr>
                <w:rFonts w:hint="eastAsia" w:ascii="宋体" w:hAnsi="宋体" w:eastAsia="宋体" w:cs="宋体"/>
                <w:b/>
                <w:snapToGrid w:val="0"/>
                <w:color w:val="auto"/>
                <w:kern w:val="0"/>
                <w:sz w:val="24"/>
                <w:highlight w:val="none"/>
              </w:rPr>
              <w:t>026年0</w:t>
            </w:r>
            <w:r>
              <w:rPr>
                <w:rFonts w:hint="eastAsia" w:ascii="宋体" w:hAnsi="宋体" w:eastAsia="宋体" w:cs="宋体"/>
                <w:b/>
                <w:snapToGrid w:val="0"/>
                <w:color w:val="auto"/>
                <w:kern w:val="0"/>
                <w:sz w:val="24"/>
                <w:highlight w:val="none"/>
                <w:lang w:val="en-US" w:eastAsia="zh-CN"/>
              </w:rPr>
              <w:t>5</w:t>
            </w:r>
            <w:r>
              <w:rPr>
                <w:rFonts w:hint="eastAsia" w:ascii="宋体" w:hAnsi="宋体" w:eastAsia="宋体" w:cs="宋体"/>
                <w:b/>
                <w:snapToGrid w:val="0"/>
                <w:color w:val="auto"/>
                <w:kern w:val="0"/>
                <w:sz w:val="24"/>
                <w:highlight w:val="none"/>
              </w:rPr>
              <w:t>月</w:t>
            </w:r>
            <w:r>
              <w:rPr>
                <w:rFonts w:hint="eastAsia" w:ascii="宋体" w:hAnsi="宋体" w:cs="宋体"/>
                <w:b/>
                <w:snapToGrid w:val="0"/>
                <w:color w:val="auto"/>
                <w:kern w:val="0"/>
                <w:sz w:val="24"/>
                <w:highlight w:val="none"/>
                <w:lang w:val="en-US" w:eastAsia="zh-CN"/>
              </w:rPr>
              <w:t>29</w:t>
            </w:r>
            <w:r>
              <w:rPr>
                <w:rFonts w:hint="eastAsia" w:ascii="宋体" w:hAnsi="宋体" w:eastAsia="宋体" w:cs="宋体"/>
                <w:b/>
                <w:snapToGrid w:val="0"/>
                <w:color w:val="auto"/>
                <w:kern w:val="0"/>
                <w:sz w:val="24"/>
                <w:highlight w:val="none"/>
              </w:rPr>
              <w:t>日09时00</w:t>
            </w:r>
            <w:r>
              <w:rPr>
                <w:rFonts w:hint="eastAsia" w:ascii="宋体" w:hAnsi="宋体" w:eastAsia="宋体" w:cs="宋体"/>
                <w:b/>
                <w:color w:val="auto"/>
                <w:sz w:val="24"/>
                <w:highlight w:val="none"/>
              </w:rPr>
              <w:t>分（北京时间）</w:t>
            </w:r>
          </w:p>
        </w:tc>
      </w:tr>
      <w:tr w14:paraId="03AAF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75" w:type="dxa"/>
            <w:shd w:val="clear" w:color="auto" w:fill="auto"/>
            <w:vAlign w:val="center"/>
          </w:tcPr>
          <w:p w14:paraId="0198BD64">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19</w:t>
            </w:r>
          </w:p>
        </w:tc>
        <w:tc>
          <w:tcPr>
            <w:tcW w:w="1750" w:type="dxa"/>
            <w:vAlign w:val="center"/>
          </w:tcPr>
          <w:p w14:paraId="17CCC205">
            <w:pPr>
              <w:autoSpaceDE w:val="0"/>
              <w:autoSpaceDN w:val="0"/>
              <w:snapToGrid w:val="0"/>
              <w:spacing w:line="360" w:lineRule="auto"/>
              <w:textAlignment w:val="bottom"/>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投标文件递交地点</w:t>
            </w:r>
          </w:p>
        </w:tc>
        <w:tc>
          <w:tcPr>
            <w:tcW w:w="6624" w:type="dxa"/>
            <w:vAlign w:val="center"/>
          </w:tcPr>
          <w:p w14:paraId="2B4C24A8">
            <w:pPr>
              <w:autoSpaceDE w:val="0"/>
              <w:autoSpaceDN w:val="0"/>
              <w:snapToGrid w:val="0"/>
              <w:spacing w:line="360" w:lineRule="auto"/>
              <w:textAlignment w:val="bottom"/>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请登录政采云平台（https://www.zcygov.cn/）投标客户端投标。</w:t>
            </w:r>
          </w:p>
        </w:tc>
      </w:tr>
      <w:tr w14:paraId="690D9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75" w:type="dxa"/>
            <w:shd w:val="clear" w:color="auto" w:fill="auto"/>
            <w:vAlign w:val="center"/>
          </w:tcPr>
          <w:p w14:paraId="1FBA242E">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20</w:t>
            </w:r>
          </w:p>
        </w:tc>
        <w:tc>
          <w:tcPr>
            <w:tcW w:w="1750" w:type="dxa"/>
            <w:shd w:val="clear" w:color="auto" w:fill="auto"/>
            <w:vAlign w:val="center"/>
          </w:tcPr>
          <w:p w14:paraId="2617B2B3">
            <w:pPr>
              <w:autoSpaceDE w:val="0"/>
              <w:autoSpaceDN w:val="0"/>
              <w:snapToGrid w:val="0"/>
              <w:spacing w:line="360" w:lineRule="auto"/>
              <w:textAlignment w:val="bottom"/>
              <w:rPr>
                <w:rFonts w:hint="eastAsia" w:ascii="宋体" w:hAnsi="宋体" w:eastAsia="宋体" w:cs="宋体"/>
                <w:b/>
                <w:bCs w:val="0"/>
                <w:color w:val="auto"/>
                <w:kern w:val="2"/>
                <w:sz w:val="24"/>
                <w:szCs w:val="24"/>
                <w:highlight w:val="none"/>
                <w:lang w:val="en-US" w:eastAsia="zh-CN" w:bidi="ar-SA"/>
              </w:rPr>
            </w:pPr>
            <w:r>
              <w:rPr>
                <w:rFonts w:hint="eastAsia" w:ascii="宋体" w:hAnsi="宋体" w:eastAsia="宋体" w:cs="宋体"/>
                <w:b/>
                <w:bCs w:val="0"/>
                <w:color w:val="auto"/>
                <w:sz w:val="24"/>
                <w:highlight w:val="none"/>
                <w:lang w:val="en-US" w:eastAsia="zh-CN"/>
              </w:rPr>
              <w:t>演示视频递交截止时间</w:t>
            </w:r>
          </w:p>
        </w:tc>
        <w:tc>
          <w:tcPr>
            <w:tcW w:w="6624" w:type="dxa"/>
            <w:shd w:val="clear" w:color="auto" w:fill="auto"/>
            <w:vAlign w:val="center"/>
          </w:tcPr>
          <w:p w14:paraId="49C36AF5">
            <w:pPr>
              <w:keepNext w:val="0"/>
              <w:keepLines w:val="0"/>
              <w:pageBreakBefore w:val="0"/>
              <w:widowControl w:val="0"/>
              <w:kinsoku w:val="0"/>
              <w:wordWrap/>
              <w:overflowPunct w:val="0"/>
              <w:topLinePunct w:val="0"/>
              <w:autoSpaceDE w:val="0"/>
              <w:autoSpaceDN w:val="0"/>
              <w:bidi w:val="0"/>
              <w:spacing w:line="360" w:lineRule="auto"/>
              <w:outlineLvl w:val="2"/>
              <w:rPr>
                <w:rFonts w:hint="eastAsia" w:ascii="宋体" w:hAnsi="宋体" w:eastAsia="宋体" w:cs="宋体"/>
                <w:b/>
                <w:bCs/>
                <w:color w:val="auto"/>
                <w:sz w:val="24"/>
                <w:szCs w:val="24"/>
                <w:highlight w:val="none"/>
                <w:shd w:val="clear" w:color="auto" w:fill="auto"/>
                <w:lang w:val="en-US" w:eastAsia="zh-CN"/>
              </w:rPr>
            </w:pPr>
            <w:r>
              <w:rPr>
                <w:rFonts w:hint="eastAsia" w:ascii="宋体" w:hAnsi="宋体" w:eastAsia="宋体" w:cs="宋体"/>
                <w:b/>
                <w:bCs/>
                <w:color w:val="auto"/>
                <w:sz w:val="24"/>
                <w:szCs w:val="24"/>
                <w:highlight w:val="none"/>
                <w:shd w:val="clear" w:color="auto" w:fill="auto"/>
                <w:lang w:val="en-US" w:eastAsia="zh-CN"/>
              </w:rPr>
              <w:t>（1）如投标人到现场的需自备演示所需硬件设备及软件条件，并自行解决无线上网；投标人自备并提前进行软件运行环境配置。</w:t>
            </w:r>
          </w:p>
          <w:p w14:paraId="1083FD4B">
            <w:pPr>
              <w:pStyle w:val="4"/>
              <w:keepNext w:val="0"/>
              <w:keepLines w:val="0"/>
              <w:pageBreakBefore w:val="0"/>
              <w:widowControl w:val="0"/>
              <w:wordWrap/>
              <w:topLinePunct w:val="0"/>
              <w:bidi w:val="0"/>
              <w:spacing w:before="0"/>
              <w:rPr>
                <w:rFonts w:hint="eastAsia" w:ascii="宋体" w:hAnsi="宋体" w:eastAsia="宋体" w:cs="宋体"/>
                <w:b/>
                <w:bCs/>
                <w:color w:val="auto"/>
                <w:kern w:val="2"/>
                <w:sz w:val="24"/>
                <w:szCs w:val="24"/>
                <w:highlight w:val="none"/>
                <w:shd w:val="clear" w:color="auto" w:fill="auto"/>
                <w:lang w:val="en-US" w:eastAsia="zh-CN" w:bidi="ar-SA"/>
              </w:rPr>
            </w:pPr>
            <w:r>
              <w:rPr>
                <w:rFonts w:hint="eastAsia" w:ascii="宋体" w:hAnsi="宋体" w:eastAsia="宋体" w:cs="宋体"/>
                <w:b/>
                <w:bCs/>
                <w:color w:val="auto"/>
                <w:kern w:val="2"/>
                <w:sz w:val="24"/>
                <w:szCs w:val="24"/>
                <w:highlight w:val="none"/>
                <w:shd w:val="clear" w:color="auto" w:fill="auto"/>
                <w:lang w:val="en-US" w:eastAsia="zh-CN" w:bidi="ar-SA"/>
              </w:rPr>
              <w:t>（2）如投标人不能到现场演示的需在投标文件递交截止时间前将演示视频的U盘邮寄到云南梧桐建设工程管理有限公司（玉溪市红塔区沙坝商务楼B座405室），须保证视频能顺利打开播放，务必请投标人邮寄前仔细检查，否则后果自负。</w:t>
            </w:r>
          </w:p>
          <w:p w14:paraId="5F8EF208">
            <w:pPr>
              <w:keepNext w:val="0"/>
              <w:keepLines w:val="0"/>
              <w:pageBreakBefore w:val="0"/>
              <w:widowControl w:val="0"/>
              <w:wordWrap/>
              <w:topLinePunct w:val="0"/>
              <w:autoSpaceDE w:val="0"/>
              <w:autoSpaceDN w:val="0"/>
              <w:bidi w:val="0"/>
              <w:snapToGrid w:val="0"/>
              <w:spacing w:line="360" w:lineRule="auto"/>
              <w:textAlignment w:val="bottom"/>
              <w:rPr>
                <w:rFonts w:hint="eastAsia" w:ascii="宋体" w:hAnsi="宋体" w:eastAsia="宋体" w:cs="宋体"/>
                <w:b/>
                <w:bCs w:val="0"/>
                <w:color w:val="auto"/>
                <w:kern w:val="2"/>
                <w:sz w:val="24"/>
                <w:szCs w:val="24"/>
                <w:highlight w:val="none"/>
                <w:lang w:val="en-US" w:eastAsia="zh-CN" w:bidi="ar-SA"/>
              </w:rPr>
            </w:pPr>
            <w:r>
              <w:rPr>
                <w:rFonts w:hint="eastAsia" w:ascii="宋体" w:hAnsi="宋体" w:eastAsia="宋体" w:cs="宋体"/>
                <w:b/>
                <w:bCs/>
                <w:color w:val="auto"/>
                <w:sz w:val="24"/>
                <w:szCs w:val="24"/>
                <w:highlight w:val="none"/>
                <w:shd w:val="clear" w:color="auto" w:fill="auto"/>
                <w:lang w:val="en-US" w:eastAsia="zh-CN"/>
              </w:rPr>
              <w:t>（3）在本项目评审过程中，有效的投标人将按签到顺序对所要求的演示内容进行演示。</w:t>
            </w:r>
          </w:p>
        </w:tc>
      </w:tr>
      <w:tr w14:paraId="72949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75" w:type="dxa"/>
            <w:shd w:val="clear" w:color="auto" w:fill="auto"/>
            <w:vAlign w:val="center"/>
          </w:tcPr>
          <w:p w14:paraId="1377CDDD">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21</w:t>
            </w:r>
          </w:p>
        </w:tc>
        <w:tc>
          <w:tcPr>
            <w:tcW w:w="1750" w:type="dxa"/>
            <w:vAlign w:val="center"/>
          </w:tcPr>
          <w:p w14:paraId="54725A5F">
            <w:pPr>
              <w:pStyle w:val="21"/>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是否退还投标文件</w:t>
            </w:r>
          </w:p>
        </w:tc>
        <w:tc>
          <w:tcPr>
            <w:tcW w:w="6624" w:type="dxa"/>
            <w:vAlign w:val="center"/>
          </w:tcPr>
          <w:p w14:paraId="3E5FBB8A">
            <w:pPr>
              <w:pStyle w:val="21"/>
              <w:spacing w:line="360" w:lineRule="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fldChar w:fldCharType="begin"/>
            </w:r>
            <w:r>
              <w:rPr>
                <w:rFonts w:hint="eastAsia" w:ascii="宋体" w:hAnsi="宋体" w:eastAsia="宋体" w:cs="宋体"/>
                <w:b/>
                <w:color w:val="auto"/>
                <w:sz w:val="24"/>
                <w:szCs w:val="24"/>
                <w:highlight w:val="none"/>
              </w:rPr>
              <w:instrText xml:space="preserve"> EQ \o(□,√)</w:instrText>
            </w:r>
            <w:r>
              <w:rPr>
                <w:rFonts w:hint="eastAsia" w:ascii="宋体" w:hAnsi="宋体" w:eastAsia="宋体" w:cs="宋体"/>
                <w:b/>
                <w:color w:val="auto"/>
                <w:sz w:val="24"/>
                <w:szCs w:val="24"/>
                <w:highlight w:val="none"/>
              </w:rPr>
              <w:fldChar w:fldCharType="end"/>
            </w:r>
            <w:r>
              <w:rPr>
                <w:rFonts w:hint="eastAsia" w:ascii="宋体" w:hAnsi="宋体" w:eastAsia="宋体" w:cs="宋体"/>
                <w:color w:val="auto"/>
                <w:sz w:val="24"/>
                <w:szCs w:val="24"/>
                <w:highlight w:val="none"/>
              </w:rPr>
              <w:t>否  □是</w:t>
            </w:r>
          </w:p>
        </w:tc>
      </w:tr>
      <w:tr w14:paraId="29B1F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975" w:type="dxa"/>
            <w:shd w:val="clear" w:color="auto" w:fill="auto"/>
            <w:vAlign w:val="center"/>
          </w:tcPr>
          <w:p w14:paraId="1C2986E8">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22</w:t>
            </w:r>
          </w:p>
        </w:tc>
        <w:tc>
          <w:tcPr>
            <w:tcW w:w="1750" w:type="dxa"/>
            <w:vAlign w:val="center"/>
          </w:tcPr>
          <w:p w14:paraId="37F20E40">
            <w:pPr>
              <w:pStyle w:val="21"/>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评标办法</w:t>
            </w:r>
          </w:p>
        </w:tc>
        <w:tc>
          <w:tcPr>
            <w:tcW w:w="6624" w:type="dxa"/>
            <w:vAlign w:val="center"/>
          </w:tcPr>
          <w:p w14:paraId="2132F21A">
            <w:pPr>
              <w:spacing w:line="360" w:lineRule="auto"/>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综合评分法</w:t>
            </w:r>
          </w:p>
        </w:tc>
      </w:tr>
      <w:tr w14:paraId="5E4CC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975" w:type="dxa"/>
            <w:shd w:val="clear" w:color="auto" w:fill="auto"/>
            <w:vAlign w:val="center"/>
          </w:tcPr>
          <w:p w14:paraId="5FB25976">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23</w:t>
            </w:r>
          </w:p>
        </w:tc>
        <w:tc>
          <w:tcPr>
            <w:tcW w:w="1750" w:type="dxa"/>
            <w:vAlign w:val="center"/>
          </w:tcPr>
          <w:p w14:paraId="309166AA">
            <w:pPr>
              <w:pStyle w:val="21"/>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评标委员会的组建</w:t>
            </w:r>
          </w:p>
        </w:tc>
        <w:tc>
          <w:tcPr>
            <w:tcW w:w="6624" w:type="dxa"/>
            <w:vAlign w:val="center"/>
          </w:tcPr>
          <w:p w14:paraId="6B252C15">
            <w:pPr>
              <w:adjustRightInd w:val="0"/>
              <w:snapToGrid w:val="0"/>
              <w:spacing w:line="360" w:lineRule="auto"/>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评标委员会由采购人代表和有关技术、经济等方面的专家组成，成员人数应当为5人或以上单数。其中，技术、经济等方面的专家不得少于成员总数的三分之二。评标委员会应当推选组长，但采购人代表不得担任组长。</w:t>
            </w:r>
          </w:p>
        </w:tc>
      </w:tr>
      <w:tr w14:paraId="429DB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975" w:type="dxa"/>
            <w:shd w:val="clear" w:color="auto" w:fill="auto"/>
            <w:vAlign w:val="center"/>
          </w:tcPr>
          <w:p w14:paraId="045356F2">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24</w:t>
            </w:r>
          </w:p>
        </w:tc>
        <w:tc>
          <w:tcPr>
            <w:tcW w:w="1750" w:type="dxa"/>
            <w:vAlign w:val="center"/>
          </w:tcPr>
          <w:p w14:paraId="79E16225">
            <w:pPr>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是否授权评标委员会确定中标人</w:t>
            </w:r>
          </w:p>
        </w:tc>
        <w:tc>
          <w:tcPr>
            <w:tcW w:w="6624" w:type="dxa"/>
            <w:vAlign w:val="center"/>
          </w:tcPr>
          <w:p w14:paraId="6E2DF645">
            <w:pPr>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是</w:t>
            </w:r>
          </w:p>
          <w:p w14:paraId="79531422">
            <w:pPr>
              <w:adjustRightInd w:val="0"/>
              <w:snapToGrid w:val="0"/>
              <w:spacing w:line="360" w:lineRule="auto"/>
              <w:rPr>
                <w:rFonts w:hint="eastAsia" w:ascii="宋体" w:hAnsi="宋体" w:eastAsia="宋体" w:cs="宋体"/>
                <w:snapToGrid w:val="0"/>
                <w:color w:val="auto"/>
                <w:kern w:val="0"/>
                <w:sz w:val="24"/>
                <w:highlight w:val="none"/>
              </w:rPr>
            </w:pPr>
            <w:r>
              <w:rPr>
                <w:rFonts w:hint="eastAsia" w:ascii="宋体" w:hAnsi="宋体" w:eastAsia="宋体" w:cs="宋体"/>
                <w:color w:val="auto"/>
                <w:spacing w:val="-2"/>
                <w:sz w:val="24"/>
                <w:highlight w:val="none"/>
              </w:rPr>
              <w:sym w:font="Wingdings 2" w:char="0052"/>
            </w:r>
            <w:r>
              <w:rPr>
                <w:rFonts w:hint="eastAsia" w:ascii="宋体" w:hAnsi="宋体" w:eastAsia="宋体" w:cs="宋体"/>
                <w:color w:val="auto"/>
                <w:sz w:val="24"/>
                <w:highlight w:val="none"/>
              </w:rPr>
              <w:t xml:space="preserve"> 否，推荐中标候选人，推荐人数：</w:t>
            </w:r>
            <w:r>
              <w:rPr>
                <w:rFonts w:hint="eastAsia" w:ascii="宋体" w:hAnsi="宋体" w:eastAsia="宋体" w:cs="宋体"/>
                <w:color w:val="auto"/>
                <w:sz w:val="24"/>
                <w:highlight w:val="none"/>
                <w:u w:val="single"/>
              </w:rPr>
              <w:t>3</w:t>
            </w:r>
            <w:r>
              <w:rPr>
                <w:rFonts w:hint="eastAsia" w:ascii="宋体" w:hAnsi="宋体" w:eastAsia="宋体" w:cs="宋体"/>
                <w:color w:val="auto"/>
                <w:sz w:val="24"/>
                <w:highlight w:val="none"/>
              </w:rPr>
              <w:t>人。</w:t>
            </w:r>
          </w:p>
        </w:tc>
      </w:tr>
      <w:tr w14:paraId="2EB78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jc w:val="center"/>
        </w:trPr>
        <w:tc>
          <w:tcPr>
            <w:tcW w:w="975" w:type="dxa"/>
            <w:shd w:val="clear" w:color="auto" w:fill="auto"/>
            <w:vAlign w:val="center"/>
          </w:tcPr>
          <w:p w14:paraId="1C1294E9">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25</w:t>
            </w:r>
          </w:p>
        </w:tc>
        <w:tc>
          <w:tcPr>
            <w:tcW w:w="1750" w:type="dxa"/>
            <w:vAlign w:val="center"/>
          </w:tcPr>
          <w:p w14:paraId="34733957">
            <w:pPr>
              <w:widowControl/>
              <w:adjustRightInd w:val="0"/>
              <w:snapToGrid w:val="0"/>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现场踏勘</w:t>
            </w:r>
          </w:p>
        </w:tc>
        <w:tc>
          <w:tcPr>
            <w:tcW w:w="6624" w:type="dxa"/>
            <w:vAlign w:val="center"/>
          </w:tcPr>
          <w:p w14:paraId="69BC5252">
            <w:pPr>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是</w:t>
            </w:r>
          </w:p>
          <w:p w14:paraId="30254D44">
            <w:pPr>
              <w:widowControl/>
              <w:adjustRightInd w:val="0"/>
              <w:snapToGrid w:val="0"/>
              <w:spacing w:line="360" w:lineRule="auto"/>
              <w:rPr>
                <w:rFonts w:hint="eastAsia" w:ascii="宋体" w:hAnsi="宋体" w:eastAsia="宋体" w:cs="宋体"/>
                <w:snapToGrid w:val="0"/>
                <w:color w:val="auto"/>
                <w:kern w:val="0"/>
                <w:sz w:val="24"/>
                <w:highlight w:val="none"/>
              </w:rPr>
            </w:pPr>
            <w:r>
              <w:rPr>
                <w:rFonts w:hint="eastAsia" w:ascii="宋体" w:hAnsi="宋体" w:eastAsia="宋体" w:cs="宋体"/>
                <w:color w:val="auto"/>
                <w:spacing w:val="-2"/>
                <w:sz w:val="24"/>
                <w:highlight w:val="none"/>
              </w:rPr>
              <w:sym w:font="Wingdings 2" w:char="0052"/>
            </w:r>
            <w:r>
              <w:rPr>
                <w:rFonts w:hint="eastAsia" w:ascii="宋体" w:hAnsi="宋体" w:eastAsia="宋体" w:cs="宋体"/>
                <w:color w:val="auto"/>
                <w:sz w:val="24"/>
                <w:highlight w:val="none"/>
              </w:rPr>
              <w:t xml:space="preserve"> 否 本项目不组织现场踏勘，如</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rPr>
              <w:t>需要现场踏勘的，自行到现场踏勘，踏勘所需食宿、交通、安全等由</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rPr>
              <w:t>自行负责。</w:t>
            </w:r>
          </w:p>
        </w:tc>
      </w:tr>
      <w:tr w14:paraId="58683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75" w:type="dxa"/>
            <w:shd w:val="clear" w:color="auto" w:fill="auto"/>
            <w:vAlign w:val="center"/>
          </w:tcPr>
          <w:p w14:paraId="324F0225">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26</w:t>
            </w:r>
          </w:p>
        </w:tc>
        <w:tc>
          <w:tcPr>
            <w:tcW w:w="1750" w:type="dxa"/>
            <w:vAlign w:val="center"/>
          </w:tcPr>
          <w:p w14:paraId="0B393432">
            <w:pPr>
              <w:spacing w:line="360" w:lineRule="auto"/>
              <w:jc w:val="left"/>
              <w:rPr>
                <w:rFonts w:hint="eastAsia" w:ascii="宋体" w:hAnsi="宋体" w:eastAsia="宋体" w:cs="宋体"/>
                <w:color w:val="auto"/>
                <w:spacing w:val="9"/>
                <w:sz w:val="24"/>
                <w:highlight w:val="none"/>
              </w:rPr>
            </w:pPr>
            <w:r>
              <w:rPr>
                <w:rFonts w:hint="eastAsia" w:ascii="宋体" w:hAnsi="宋体" w:eastAsia="宋体" w:cs="宋体"/>
                <w:color w:val="auto"/>
                <w:sz w:val="24"/>
                <w:highlight w:val="none"/>
              </w:rPr>
              <w:t>投标保证金</w:t>
            </w:r>
          </w:p>
        </w:tc>
        <w:tc>
          <w:tcPr>
            <w:tcW w:w="6624" w:type="dxa"/>
            <w:vAlign w:val="center"/>
          </w:tcPr>
          <w:p w14:paraId="313F7423">
            <w:pPr>
              <w:spacing w:line="360" w:lineRule="auto"/>
              <w:rPr>
                <w:rFonts w:hint="eastAsia" w:ascii="宋体" w:hAnsi="宋体" w:eastAsia="宋体" w:cs="宋体"/>
                <w:color w:val="auto"/>
                <w:spacing w:val="-2"/>
                <w:sz w:val="24"/>
                <w:highlight w:val="none"/>
              </w:rPr>
            </w:pPr>
            <w:r>
              <w:rPr>
                <w:rFonts w:hint="eastAsia" w:ascii="宋体" w:hAnsi="宋体" w:eastAsia="宋体" w:cs="宋体"/>
                <w:color w:val="auto"/>
                <w:spacing w:val="-2"/>
                <w:sz w:val="24"/>
                <w:highlight w:val="none"/>
              </w:rPr>
              <w:sym w:font="Wingdings 2" w:char="0052"/>
            </w:r>
            <w:r>
              <w:rPr>
                <w:rFonts w:hint="eastAsia" w:ascii="宋体" w:hAnsi="宋体" w:eastAsia="宋体" w:cs="宋体"/>
                <w:color w:val="auto"/>
                <w:sz w:val="24"/>
                <w:highlight w:val="none"/>
              </w:rPr>
              <w:t>是</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pacing w:val="-2"/>
                <w:sz w:val="24"/>
                <w:highlight w:val="none"/>
              </w:rPr>
              <w:fldChar w:fldCharType="begin"/>
            </w:r>
            <w:r>
              <w:rPr>
                <w:rFonts w:hint="eastAsia" w:ascii="宋体" w:hAnsi="宋体" w:eastAsia="宋体" w:cs="宋体"/>
                <w:color w:val="auto"/>
                <w:spacing w:val="-2"/>
                <w:sz w:val="24"/>
                <w:highlight w:val="none"/>
              </w:rPr>
              <w:instrText xml:space="preserve"> EQ \o(□)</w:instrText>
            </w:r>
            <w:r>
              <w:rPr>
                <w:rFonts w:hint="eastAsia" w:ascii="宋体" w:hAnsi="宋体" w:eastAsia="宋体" w:cs="宋体"/>
                <w:color w:val="auto"/>
                <w:spacing w:val="-2"/>
                <w:sz w:val="24"/>
                <w:highlight w:val="none"/>
              </w:rPr>
              <w:fldChar w:fldCharType="end"/>
            </w:r>
            <w:r>
              <w:rPr>
                <w:rFonts w:hint="eastAsia" w:ascii="宋体" w:hAnsi="宋体" w:eastAsia="宋体" w:cs="宋体"/>
                <w:color w:val="auto"/>
                <w:spacing w:val="-2"/>
                <w:sz w:val="24"/>
                <w:highlight w:val="none"/>
              </w:rPr>
              <w:t xml:space="preserve">否  </w:t>
            </w:r>
          </w:p>
          <w:p w14:paraId="5947C511">
            <w:pPr>
              <w:spacing w:line="360" w:lineRule="auto"/>
              <w:rPr>
                <w:rFonts w:hint="eastAsia" w:ascii="宋体" w:hAnsi="宋体" w:eastAsia="宋体" w:cs="宋体"/>
                <w:color w:val="auto"/>
                <w:spacing w:val="-2"/>
                <w:sz w:val="24"/>
                <w:highlight w:val="none"/>
              </w:rPr>
            </w:pPr>
            <w:r>
              <w:rPr>
                <w:rFonts w:hint="eastAsia" w:ascii="宋体" w:hAnsi="宋体" w:eastAsia="宋体" w:cs="宋体"/>
                <w:color w:val="auto"/>
                <w:spacing w:val="-2"/>
                <w:sz w:val="24"/>
                <w:highlight w:val="none"/>
              </w:rPr>
              <w:t>一、投标保证金提交方式</w:t>
            </w:r>
          </w:p>
          <w:p w14:paraId="4BD1B954">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保证金缴纳方式：支票、汇票、本票、保函、银行转账、保证保险等非现金形式。</w:t>
            </w:r>
          </w:p>
          <w:p w14:paraId="1CF61DFA">
            <w:pPr>
              <w:spacing w:line="360" w:lineRule="auto"/>
              <w:rPr>
                <w:rFonts w:hint="eastAsia" w:ascii="宋体" w:hAnsi="宋体" w:eastAsia="宋体" w:cs="宋体"/>
                <w:color w:val="auto"/>
                <w:spacing w:val="-2"/>
                <w:sz w:val="24"/>
                <w:highlight w:val="none"/>
              </w:rPr>
            </w:pPr>
            <w:r>
              <w:rPr>
                <w:rFonts w:hint="eastAsia" w:ascii="宋体" w:hAnsi="宋体" w:eastAsia="宋体" w:cs="宋体"/>
                <w:color w:val="auto"/>
                <w:spacing w:val="-2"/>
                <w:sz w:val="24"/>
                <w:highlight w:val="none"/>
              </w:rPr>
              <w:t>银行转账：投标（交易）保证金应以投标人自身的名义提交，并且必须从其基本账户转出，不得以分支机构其他名义提交（按照规定，投标人可以为自然人的项目除外）。</w:t>
            </w:r>
          </w:p>
          <w:p w14:paraId="2B08E00C">
            <w:pPr>
              <w:spacing w:line="360" w:lineRule="auto"/>
              <w:rPr>
                <w:rFonts w:hint="eastAsia" w:ascii="宋体" w:hAnsi="宋体" w:eastAsia="宋体" w:cs="宋体"/>
                <w:color w:val="auto"/>
                <w:spacing w:val="-2"/>
                <w:sz w:val="24"/>
                <w:highlight w:val="none"/>
              </w:rPr>
            </w:pPr>
            <w:r>
              <w:rPr>
                <w:rFonts w:hint="eastAsia" w:ascii="宋体" w:hAnsi="宋体" w:eastAsia="宋体" w:cs="宋体"/>
                <w:color w:val="auto"/>
                <w:spacing w:val="-2"/>
                <w:sz w:val="24"/>
                <w:highlight w:val="none"/>
              </w:rPr>
              <w:t>二、投标保证金数额：</w:t>
            </w:r>
          </w:p>
          <w:p w14:paraId="3C2F4D07">
            <w:pPr>
              <w:spacing w:line="360" w:lineRule="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投标保证金</w:t>
            </w:r>
            <w:r>
              <w:rPr>
                <w:rFonts w:hint="eastAsia" w:ascii="宋体" w:hAnsi="宋体" w:eastAsia="宋体" w:cs="宋体"/>
                <w:b/>
                <w:bCs/>
                <w:color w:val="auto"/>
                <w:sz w:val="24"/>
                <w:highlight w:val="none"/>
                <w:lang w:val="en-US" w:eastAsia="zh-CN"/>
              </w:rPr>
              <w:t>：</w:t>
            </w:r>
            <w:r>
              <w:rPr>
                <w:rFonts w:hint="eastAsia" w:ascii="宋体" w:hAnsi="宋体" w:eastAsia="宋体" w:cs="宋体"/>
                <w:b/>
                <w:bCs/>
                <w:color w:val="auto"/>
                <w:sz w:val="24"/>
                <w:highlight w:val="none"/>
              </w:rPr>
              <w:t>标段5：¥6000.00元。</w:t>
            </w:r>
          </w:p>
          <w:p w14:paraId="4A4A098F">
            <w:pPr>
              <w:spacing w:line="360" w:lineRule="auto"/>
              <w:rPr>
                <w:rFonts w:hint="eastAsia" w:ascii="宋体" w:hAnsi="宋体" w:eastAsia="宋体" w:cs="宋体"/>
                <w:color w:val="auto"/>
                <w:spacing w:val="-2"/>
                <w:sz w:val="24"/>
                <w:highlight w:val="none"/>
              </w:rPr>
            </w:pPr>
            <w:r>
              <w:rPr>
                <w:rFonts w:hint="eastAsia" w:ascii="宋体" w:hAnsi="宋体" w:eastAsia="宋体" w:cs="宋体"/>
                <w:color w:val="auto"/>
                <w:sz w:val="24"/>
                <w:highlight w:val="none"/>
              </w:rPr>
              <w:t>投标人</w:t>
            </w:r>
            <w:r>
              <w:rPr>
                <w:rFonts w:hint="eastAsia" w:ascii="宋体" w:hAnsi="宋体" w:eastAsia="宋体" w:cs="宋体"/>
                <w:color w:val="auto"/>
                <w:spacing w:val="-2"/>
                <w:sz w:val="24"/>
                <w:highlight w:val="none"/>
              </w:rPr>
              <w:t>需在投标截止时间前按要求提交投标保证金，递交截止时间之后递交的投标保证金将被拒绝。</w:t>
            </w:r>
          </w:p>
          <w:p w14:paraId="71A902CD">
            <w:pPr>
              <w:spacing w:line="360" w:lineRule="auto"/>
              <w:rPr>
                <w:rFonts w:hint="eastAsia" w:ascii="宋体" w:hAnsi="宋体" w:eastAsia="宋体" w:cs="宋体"/>
                <w:color w:val="auto"/>
                <w:spacing w:val="-2"/>
                <w:sz w:val="24"/>
                <w:highlight w:val="none"/>
              </w:rPr>
            </w:pPr>
            <w:r>
              <w:rPr>
                <w:rFonts w:hint="eastAsia" w:ascii="宋体" w:hAnsi="宋体" w:eastAsia="宋体" w:cs="宋体"/>
                <w:color w:val="auto"/>
                <w:spacing w:val="-2"/>
                <w:sz w:val="24"/>
                <w:highlight w:val="none"/>
              </w:rPr>
              <w:t>三、保证金提交的程序</w:t>
            </w:r>
          </w:p>
          <w:p w14:paraId="6536B519">
            <w:pPr>
              <w:spacing w:line="360" w:lineRule="auto"/>
              <w:rPr>
                <w:rFonts w:hint="eastAsia" w:ascii="宋体" w:hAnsi="宋体" w:eastAsia="宋体" w:cs="宋体"/>
                <w:color w:val="auto"/>
                <w:spacing w:val="-2"/>
                <w:sz w:val="24"/>
                <w:highlight w:val="none"/>
              </w:rPr>
            </w:pPr>
            <w:r>
              <w:rPr>
                <w:rFonts w:hint="eastAsia" w:ascii="宋体" w:hAnsi="宋体" w:eastAsia="宋体" w:cs="宋体"/>
                <w:color w:val="auto"/>
                <w:spacing w:val="-2"/>
                <w:sz w:val="24"/>
                <w:highlight w:val="none"/>
              </w:rPr>
              <w:t>（一）采用银行转账方式提交的：</w:t>
            </w:r>
          </w:p>
          <w:p w14:paraId="4BD300A8">
            <w:pPr>
              <w:spacing w:line="360" w:lineRule="auto"/>
              <w:rPr>
                <w:rFonts w:hint="eastAsia" w:ascii="宋体" w:hAnsi="宋体" w:eastAsia="宋体" w:cs="宋体"/>
                <w:color w:val="auto"/>
                <w:spacing w:val="-2"/>
                <w:sz w:val="24"/>
                <w:highlight w:val="none"/>
              </w:rPr>
            </w:pPr>
            <w:r>
              <w:rPr>
                <w:rFonts w:hint="eastAsia" w:ascii="宋体" w:hAnsi="宋体" w:eastAsia="宋体" w:cs="宋体"/>
                <w:color w:val="auto"/>
                <w:spacing w:val="-2"/>
                <w:sz w:val="24"/>
                <w:highlight w:val="none"/>
              </w:rPr>
              <w:t>投标人应按照招标文件中关于投标保证金的各项要求提交投标保证金。请投标人合理安排投标保证金的递交时间（投标保证金的递交时间以保证金账户实际到账时间为准），保证金未在投标截止时间之前到帐或款项用途不明等原因导致投标无效等后果由</w:t>
            </w:r>
            <w:r>
              <w:rPr>
                <w:rFonts w:hint="eastAsia" w:ascii="宋体" w:hAnsi="宋体" w:eastAsia="宋体" w:cs="宋体"/>
                <w:color w:val="auto"/>
                <w:spacing w:val="-2"/>
                <w:sz w:val="24"/>
                <w:highlight w:val="none"/>
                <w:lang w:eastAsia="zh-CN"/>
              </w:rPr>
              <w:t>投标人</w:t>
            </w:r>
            <w:r>
              <w:rPr>
                <w:rFonts w:hint="eastAsia" w:ascii="宋体" w:hAnsi="宋体" w:eastAsia="宋体" w:cs="宋体"/>
                <w:color w:val="auto"/>
                <w:spacing w:val="-2"/>
                <w:sz w:val="24"/>
                <w:highlight w:val="none"/>
              </w:rPr>
              <w:t>自行承担。</w:t>
            </w:r>
          </w:p>
          <w:p w14:paraId="46A71168">
            <w:pPr>
              <w:spacing w:line="360" w:lineRule="auto"/>
              <w:rPr>
                <w:rFonts w:hint="eastAsia" w:ascii="宋体" w:hAnsi="宋体" w:eastAsia="宋体" w:cs="宋体"/>
                <w:b/>
                <w:bCs/>
                <w:color w:val="auto"/>
                <w:spacing w:val="-2"/>
                <w:sz w:val="24"/>
                <w:highlight w:val="none"/>
              </w:rPr>
            </w:pPr>
            <w:r>
              <w:rPr>
                <w:rFonts w:hint="eastAsia" w:ascii="宋体" w:hAnsi="宋体" w:eastAsia="宋体" w:cs="宋体"/>
                <w:b/>
                <w:bCs/>
                <w:color w:val="auto"/>
                <w:spacing w:val="-2"/>
                <w:sz w:val="24"/>
                <w:highlight w:val="none"/>
              </w:rPr>
              <w:t>投标保证金递交账户信息：</w:t>
            </w:r>
          </w:p>
          <w:p w14:paraId="30B6A886">
            <w:pPr>
              <w:spacing w:line="360" w:lineRule="auto"/>
              <w:rPr>
                <w:rFonts w:hint="eastAsia" w:ascii="宋体" w:hAnsi="宋体" w:eastAsia="宋体" w:cs="宋体"/>
                <w:b/>
                <w:bCs/>
                <w:color w:val="auto"/>
                <w:spacing w:val="-2"/>
                <w:sz w:val="24"/>
                <w:highlight w:val="none"/>
              </w:rPr>
            </w:pPr>
            <w:r>
              <w:rPr>
                <w:rFonts w:hint="eastAsia" w:ascii="宋体" w:hAnsi="宋体" w:eastAsia="宋体" w:cs="宋体"/>
                <w:b/>
                <w:bCs/>
                <w:color w:val="auto"/>
                <w:spacing w:val="-2"/>
                <w:sz w:val="24"/>
                <w:highlight w:val="none"/>
              </w:rPr>
              <w:t>户名：云南梧桐建设工程管理有限公司</w:t>
            </w:r>
          </w:p>
          <w:p w14:paraId="5C25DD9B">
            <w:pPr>
              <w:spacing w:line="360" w:lineRule="auto"/>
              <w:rPr>
                <w:rFonts w:hint="eastAsia" w:ascii="宋体" w:hAnsi="宋体" w:eastAsia="宋体" w:cs="宋体"/>
                <w:b/>
                <w:bCs/>
                <w:color w:val="auto"/>
                <w:spacing w:val="-2"/>
                <w:sz w:val="24"/>
                <w:highlight w:val="none"/>
              </w:rPr>
            </w:pPr>
            <w:r>
              <w:rPr>
                <w:rFonts w:hint="eastAsia" w:ascii="宋体" w:hAnsi="宋体" w:eastAsia="宋体" w:cs="宋体"/>
                <w:b/>
                <w:bCs/>
                <w:color w:val="auto"/>
                <w:spacing w:val="-2"/>
                <w:sz w:val="24"/>
                <w:highlight w:val="none"/>
              </w:rPr>
              <w:t>开户行：兴业银行昆明小康大道支行</w:t>
            </w:r>
          </w:p>
          <w:p w14:paraId="4253C369">
            <w:pPr>
              <w:spacing w:line="360" w:lineRule="auto"/>
              <w:rPr>
                <w:rFonts w:hint="eastAsia" w:ascii="宋体" w:hAnsi="宋体" w:eastAsia="宋体" w:cs="宋体"/>
                <w:b/>
                <w:bCs/>
                <w:color w:val="auto"/>
                <w:spacing w:val="-2"/>
                <w:sz w:val="24"/>
                <w:highlight w:val="none"/>
              </w:rPr>
            </w:pPr>
            <w:r>
              <w:rPr>
                <w:rFonts w:hint="eastAsia" w:ascii="宋体" w:hAnsi="宋体" w:eastAsia="宋体" w:cs="宋体"/>
                <w:b/>
                <w:bCs/>
                <w:color w:val="auto"/>
                <w:spacing w:val="-2"/>
                <w:sz w:val="24"/>
                <w:highlight w:val="none"/>
              </w:rPr>
              <w:t>账户：471220100100090072</w:t>
            </w:r>
          </w:p>
          <w:p w14:paraId="4255E2F8">
            <w:pPr>
              <w:spacing w:line="360" w:lineRule="auto"/>
              <w:rPr>
                <w:rFonts w:hint="eastAsia" w:ascii="宋体" w:hAnsi="宋体" w:eastAsia="宋体" w:cs="宋体"/>
                <w:color w:val="auto"/>
                <w:spacing w:val="-2"/>
                <w:sz w:val="24"/>
                <w:highlight w:val="none"/>
              </w:rPr>
            </w:pPr>
            <w:r>
              <w:rPr>
                <w:rFonts w:hint="eastAsia" w:ascii="宋体" w:hAnsi="宋体" w:eastAsia="宋体" w:cs="宋体"/>
                <w:color w:val="auto"/>
                <w:spacing w:val="-2"/>
                <w:sz w:val="24"/>
                <w:highlight w:val="none"/>
              </w:rPr>
              <w:t>（二）采用银行保函（保险）方式提交的：</w:t>
            </w:r>
          </w:p>
          <w:p w14:paraId="2DE69E3D">
            <w:pPr>
              <w:spacing w:line="360" w:lineRule="auto"/>
              <w:rPr>
                <w:rFonts w:hint="eastAsia" w:ascii="宋体" w:hAnsi="宋体" w:eastAsia="宋体" w:cs="宋体"/>
                <w:color w:val="auto"/>
                <w:spacing w:val="-2"/>
                <w:sz w:val="24"/>
                <w:highlight w:val="none"/>
              </w:rPr>
            </w:pPr>
            <w:r>
              <w:rPr>
                <w:rFonts w:hint="eastAsia" w:ascii="宋体" w:hAnsi="宋体" w:eastAsia="宋体" w:cs="宋体"/>
                <w:color w:val="auto"/>
                <w:spacing w:val="-2"/>
                <w:sz w:val="24"/>
                <w:highlight w:val="none"/>
              </w:rPr>
              <w:t>1、采用电子保险保单形式，投标人选择相关平台或机构自行办理投保手续，自行办理的保函（保险）需真实有效；</w:t>
            </w:r>
          </w:p>
          <w:p w14:paraId="6F2BD70D">
            <w:pPr>
              <w:spacing w:line="360" w:lineRule="auto"/>
              <w:rPr>
                <w:rFonts w:hint="eastAsia" w:ascii="宋体" w:hAnsi="宋体" w:eastAsia="宋体" w:cs="宋体"/>
                <w:color w:val="auto"/>
                <w:spacing w:val="-2"/>
                <w:sz w:val="24"/>
                <w:highlight w:val="none"/>
              </w:rPr>
            </w:pPr>
            <w:r>
              <w:rPr>
                <w:rFonts w:hint="eastAsia" w:ascii="宋体" w:hAnsi="宋体" w:eastAsia="宋体" w:cs="宋体"/>
                <w:color w:val="auto"/>
                <w:spacing w:val="-2"/>
                <w:sz w:val="24"/>
                <w:highlight w:val="none"/>
              </w:rPr>
              <w:t>2、开标前，办理成功的保函（保险）凭证扫描件需放入投标文件中；投标人需对自行办理的保函（保险）真实性、有效性负责；</w:t>
            </w:r>
          </w:p>
          <w:p w14:paraId="7E4B4121">
            <w:pPr>
              <w:spacing w:line="360" w:lineRule="auto"/>
              <w:rPr>
                <w:rFonts w:hint="eastAsia" w:ascii="宋体" w:hAnsi="宋体" w:eastAsia="宋体" w:cs="宋体"/>
                <w:color w:val="auto"/>
                <w:spacing w:val="-2"/>
                <w:sz w:val="24"/>
                <w:highlight w:val="none"/>
              </w:rPr>
            </w:pPr>
            <w:r>
              <w:rPr>
                <w:rFonts w:hint="eastAsia" w:ascii="宋体" w:hAnsi="宋体" w:eastAsia="宋体" w:cs="宋体"/>
                <w:color w:val="auto"/>
                <w:spacing w:val="-2"/>
                <w:sz w:val="24"/>
                <w:highlight w:val="none"/>
              </w:rPr>
              <w:t>四、投标保证金退还方式</w:t>
            </w:r>
          </w:p>
          <w:p w14:paraId="51783D0A">
            <w:pPr>
              <w:spacing w:line="360" w:lineRule="auto"/>
              <w:rPr>
                <w:rFonts w:hint="eastAsia" w:ascii="宋体" w:hAnsi="宋体" w:eastAsia="宋体" w:cs="宋体"/>
                <w:color w:val="auto"/>
                <w:spacing w:val="-2"/>
                <w:sz w:val="24"/>
                <w:highlight w:val="none"/>
              </w:rPr>
            </w:pPr>
            <w:r>
              <w:rPr>
                <w:rFonts w:hint="eastAsia" w:ascii="宋体" w:hAnsi="宋体" w:eastAsia="宋体" w:cs="宋体"/>
                <w:color w:val="auto"/>
                <w:spacing w:val="-2"/>
                <w:sz w:val="24"/>
                <w:highlight w:val="none"/>
              </w:rPr>
              <w:t>1.自中标通知书发出之日起5个工作日内退还未中标人的投标保证金；未中标人的保证金通过原渠道退至基本账户中。</w:t>
            </w:r>
          </w:p>
          <w:p w14:paraId="37D9776D">
            <w:pPr>
              <w:spacing w:line="360" w:lineRule="auto"/>
              <w:rPr>
                <w:rFonts w:hint="eastAsia" w:ascii="宋体" w:hAnsi="宋体" w:eastAsia="宋体" w:cs="宋体"/>
                <w:color w:val="auto"/>
                <w:highlight w:val="none"/>
              </w:rPr>
            </w:pPr>
            <w:r>
              <w:rPr>
                <w:rFonts w:hint="eastAsia" w:ascii="宋体" w:hAnsi="宋体" w:eastAsia="宋体" w:cs="宋体"/>
                <w:color w:val="auto"/>
                <w:spacing w:val="-2"/>
                <w:sz w:val="24"/>
                <w:highlight w:val="none"/>
              </w:rPr>
              <w:t>2.自采购合同签订之日起5个工作日内退还中标人的投标保证金：保证金将通过原渠道退至基本账户中。</w:t>
            </w:r>
          </w:p>
        </w:tc>
      </w:tr>
      <w:tr w14:paraId="78FDE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975" w:type="dxa"/>
            <w:shd w:val="clear" w:color="auto" w:fill="auto"/>
            <w:vAlign w:val="center"/>
          </w:tcPr>
          <w:p w14:paraId="2B23ED59">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27</w:t>
            </w:r>
          </w:p>
        </w:tc>
        <w:tc>
          <w:tcPr>
            <w:tcW w:w="1750" w:type="dxa"/>
            <w:vAlign w:val="center"/>
          </w:tcPr>
          <w:p w14:paraId="617763D8">
            <w:pPr>
              <w:pStyle w:val="21"/>
              <w:spacing w:line="360" w:lineRule="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履约保证金</w:t>
            </w:r>
            <w:r>
              <w:rPr>
                <w:rFonts w:hint="eastAsia" w:ascii="宋体" w:hAnsi="宋体" w:eastAsia="宋体" w:cs="宋体"/>
                <w:color w:val="auto"/>
                <w:sz w:val="24"/>
                <w:szCs w:val="24"/>
                <w:highlight w:val="none"/>
              </w:rPr>
              <w:t>金额</w:t>
            </w:r>
          </w:p>
        </w:tc>
        <w:tc>
          <w:tcPr>
            <w:tcW w:w="6624" w:type="dxa"/>
            <w:vAlign w:val="center"/>
          </w:tcPr>
          <w:p w14:paraId="0FBBEE36">
            <w:pPr>
              <w:spacing w:line="360" w:lineRule="auto"/>
              <w:rPr>
                <w:rFonts w:hint="eastAsia" w:ascii="宋体" w:hAnsi="宋体" w:eastAsia="宋体" w:cs="宋体"/>
                <w:color w:val="auto"/>
                <w:sz w:val="24"/>
                <w:highlight w:val="none"/>
              </w:rPr>
            </w:pPr>
            <w:r>
              <w:rPr>
                <w:rFonts w:hint="eastAsia" w:ascii="宋体" w:hAnsi="宋体" w:eastAsia="宋体" w:cs="宋体"/>
                <w:b/>
                <w:color w:val="auto"/>
                <w:sz w:val="24"/>
                <w:highlight w:val="none"/>
              </w:rPr>
              <w:fldChar w:fldCharType="begin"/>
            </w:r>
            <w:r>
              <w:rPr>
                <w:rFonts w:hint="eastAsia" w:ascii="宋体" w:hAnsi="宋体" w:eastAsia="宋体" w:cs="宋体"/>
                <w:b/>
                <w:color w:val="auto"/>
                <w:sz w:val="24"/>
                <w:highlight w:val="none"/>
              </w:rPr>
              <w:instrText xml:space="preserve"> EQ \o(□)</w:instrText>
            </w:r>
            <w:r>
              <w:rPr>
                <w:rFonts w:hint="eastAsia" w:ascii="宋体" w:hAnsi="宋体" w:eastAsia="宋体" w:cs="宋体"/>
                <w:b/>
                <w:color w:val="auto"/>
                <w:sz w:val="24"/>
                <w:highlight w:val="none"/>
              </w:rPr>
              <w:fldChar w:fldCharType="end"/>
            </w:r>
            <w:r>
              <w:rPr>
                <w:rFonts w:hint="eastAsia" w:ascii="宋体" w:hAnsi="宋体" w:eastAsia="宋体" w:cs="宋体"/>
                <w:color w:val="auto"/>
                <w:sz w:val="24"/>
                <w:highlight w:val="none"/>
              </w:rPr>
              <w:t xml:space="preserve">否  </w:t>
            </w:r>
            <w:r>
              <w:rPr>
                <w:rFonts w:hint="eastAsia" w:ascii="宋体" w:hAnsi="宋体" w:eastAsia="宋体" w:cs="宋体"/>
                <w:color w:val="auto"/>
                <w:sz w:val="24"/>
                <w:highlight w:val="none"/>
              </w:rPr>
              <w:sym w:font="Wingdings 2" w:char="0052"/>
            </w:r>
            <w:r>
              <w:rPr>
                <w:rFonts w:hint="eastAsia" w:ascii="宋体" w:hAnsi="宋体" w:eastAsia="宋体" w:cs="宋体"/>
                <w:color w:val="auto"/>
                <w:sz w:val="24"/>
                <w:highlight w:val="none"/>
              </w:rPr>
              <w:t>是</w:t>
            </w:r>
          </w:p>
          <w:p w14:paraId="7D2E5AE2">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履约保证金金额：成交总价的5%；</w:t>
            </w:r>
          </w:p>
          <w:p w14:paraId="27DC0AD4">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履约保证金缴纳时间：中标人应在收到中标通知书后在合同签定前缴纳至采购人指定账户；</w:t>
            </w:r>
          </w:p>
          <w:p w14:paraId="7FA0FECA">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履约保证金缴纳方式：以支票、汇票、本票或者金融机构、担保机构出具的保函等非现金形式向甲方提供履约保证金。采购人开具同等金额收据。</w:t>
            </w:r>
          </w:p>
          <w:p w14:paraId="57C699D6">
            <w:pPr>
              <w:spacing w:line="360" w:lineRule="auto"/>
              <w:rPr>
                <w:rFonts w:hint="eastAsia" w:ascii="宋体" w:hAnsi="宋体" w:eastAsia="宋体" w:cs="宋体"/>
                <w:color w:val="auto"/>
                <w:highlight w:val="none"/>
              </w:rPr>
            </w:pPr>
            <w:r>
              <w:rPr>
                <w:rFonts w:hint="eastAsia" w:ascii="宋体" w:hAnsi="宋体" w:eastAsia="宋体" w:cs="宋体"/>
                <w:color w:val="auto"/>
                <w:sz w:val="24"/>
                <w:highlight w:val="none"/>
              </w:rPr>
              <w:t>履约保证金退还时间：项目最终验收合格后7个日历天内，采购人无息退还</w:t>
            </w:r>
            <w:r>
              <w:rPr>
                <w:rFonts w:hint="eastAsia" w:ascii="宋体" w:hAnsi="宋体" w:eastAsia="宋体" w:cs="宋体"/>
                <w:color w:val="auto"/>
                <w:sz w:val="24"/>
                <w:highlight w:val="none"/>
                <w:lang w:eastAsia="zh-CN"/>
              </w:rPr>
              <w:t>中标人</w:t>
            </w:r>
            <w:r>
              <w:rPr>
                <w:rFonts w:hint="eastAsia" w:ascii="宋体" w:hAnsi="宋体" w:eastAsia="宋体" w:cs="宋体"/>
                <w:color w:val="auto"/>
                <w:sz w:val="24"/>
                <w:highlight w:val="none"/>
              </w:rPr>
              <w:t>合同履约保证金。履约保证金支付作为合同生效必要条件。</w:t>
            </w:r>
          </w:p>
        </w:tc>
      </w:tr>
      <w:tr w14:paraId="0AFDE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975" w:type="dxa"/>
            <w:shd w:val="clear" w:color="auto" w:fill="auto"/>
            <w:vAlign w:val="center"/>
          </w:tcPr>
          <w:p w14:paraId="2CD2A845">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28</w:t>
            </w:r>
          </w:p>
        </w:tc>
        <w:tc>
          <w:tcPr>
            <w:tcW w:w="1750" w:type="dxa"/>
            <w:vAlign w:val="center"/>
          </w:tcPr>
          <w:p w14:paraId="1D4CA677">
            <w:pPr>
              <w:pStyle w:val="21"/>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付款方式</w:t>
            </w:r>
          </w:p>
        </w:tc>
        <w:tc>
          <w:tcPr>
            <w:tcW w:w="6624" w:type="dxa"/>
            <w:vAlign w:val="center"/>
          </w:tcPr>
          <w:p w14:paraId="5A4F3248">
            <w:pPr>
              <w:pStyle w:val="159"/>
              <w:keepNext w:val="0"/>
              <w:keepLines w:val="0"/>
              <w:pageBreakBefore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（1）预付款：合同签订生效且收到供应商提供的有效发票后，支付合同总金额的30%。</w:t>
            </w:r>
          </w:p>
          <w:p w14:paraId="42242D2B">
            <w:pPr>
              <w:pStyle w:val="159"/>
              <w:keepNext w:val="0"/>
              <w:keepLines w:val="0"/>
              <w:pageBreakBefore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b w:val="0"/>
                <w:bCs/>
                <w:color w:val="auto"/>
                <w:sz w:val="24"/>
                <w:szCs w:val="24"/>
                <w:highlight w:val="none"/>
              </w:rPr>
              <w:t>（2）验收款：项目设备安装调试完毕，通过最终验收（含压力测试及功能验证），且收到有效发票后10个工作日内支付合同总金额的70%。</w:t>
            </w:r>
          </w:p>
        </w:tc>
      </w:tr>
      <w:tr w14:paraId="565BD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975" w:type="dxa"/>
            <w:shd w:val="clear" w:color="auto" w:fill="auto"/>
            <w:vAlign w:val="center"/>
          </w:tcPr>
          <w:p w14:paraId="631B0DF3">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29</w:t>
            </w:r>
          </w:p>
        </w:tc>
        <w:tc>
          <w:tcPr>
            <w:tcW w:w="1750" w:type="dxa"/>
            <w:vAlign w:val="center"/>
          </w:tcPr>
          <w:p w14:paraId="4865AFDC">
            <w:pPr>
              <w:pStyle w:val="21"/>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其他费用</w:t>
            </w:r>
          </w:p>
        </w:tc>
        <w:tc>
          <w:tcPr>
            <w:tcW w:w="6624" w:type="dxa"/>
            <w:vAlign w:val="center"/>
          </w:tcPr>
          <w:p w14:paraId="5A4A3D4F">
            <w:pPr>
              <w:spacing w:line="360" w:lineRule="auto"/>
              <w:rPr>
                <w:rFonts w:hint="eastAsia" w:ascii="宋体" w:hAnsi="宋体" w:eastAsia="宋体" w:cs="宋体"/>
                <w:snapToGrid w:val="0"/>
                <w:color w:val="auto"/>
                <w:kern w:val="0"/>
                <w:sz w:val="24"/>
                <w:highlight w:val="none"/>
              </w:rPr>
            </w:pPr>
            <w:r>
              <w:rPr>
                <w:rFonts w:hint="eastAsia" w:ascii="宋体" w:hAnsi="宋体" w:eastAsia="宋体" w:cs="宋体"/>
                <w:color w:val="auto"/>
                <w:sz w:val="24"/>
                <w:highlight w:val="none"/>
              </w:rPr>
              <w:t>投标人在参与投标过程中发生的一切费用均由投标人自理。项目评审委员会对投标人提交的投标文件进行综合审判，将根据招标文件的规定选取一家投标人作为本项目的中标候选人。对未中标的投标人，不予经济补偿。</w:t>
            </w:r>
          </w:p>
        </w:tc>
      </w:tr>
      <w:tr w14:paraId="42E74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975" w:type="dxa"/>
            <w:shd w:val="clear" w:color="auto" w:fill="auto"/>
            <w:vAlign w:val="center"/>
          </w:tcPr>
          <w:p w14:paraId="424F6281">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30</w:t>
            </w:r>
          </w:p>
        </w:tc>
        <w:tc>
          <w:tcPr>
            <w:tcW w:w="1750" w:type="dxa"/>
            <w:vAlign w:val="center"/>
          </w:tcPr>
          <w:p w14:paraId="2ECA229D">
            <w:pPr>
              <w:pStyle w:val="21"/>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代理服务费</w:t>
            </w:r>
          </w:p>
        </w:tc>
        <w:tc>
          <w:tcPr>
            <w:tcW w:w="6624" w:type="dxa"/>
            <w:vAlign w:val="center"/>
          </w:tcPr>
          <w:p w14:paraId="34FE6ACF">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（1）本项目代理服务费按计价格[2002]1980号文件及发改价格[2015]299号文件服务收费标准基准收费率下浮</w:t>
            </w:r>
            <w:r>
              <w:rPr>
                <w:rFonts w:hint="eastAsia" w:ascii="宋体" w:hAnsi="宋体" w:eastAsia="宋体" w:cs="宋体"/>
                <w:color w:val="auto"/>
                <w:sz w:val="24"/>
                <w:highlight w:val="none"/>
                <w:u w:val="single"/>
              </w:rPr>
              <w:t>20</w:t>
            </w:r>
            <w:r>
              <w:rPr>
                <w:rFonts w:hint="eastAsia" w:ascii="宋体" w:hAnsi="宋体" w:eastAsia="宋体" w:cs="宋体"/>
                <w:color w:val="auto"/>
                <w:sz w:val="24"/>
                <w:highlight w:val="none"/>
              </w:rPr>
              <w:t>%收取，由中标人在领取中标通知书时一次性支付给代理机构。</w:t>
            </w:r>
          </w:p>
          <w:p w14:paraId="5EC51269">
            <w:pPr>
              <w:pStyle w:val="21"/>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在参与投标过程中发生的一切费用均由投标人自理。项目评审委员会对投标人提交的投标文件进行综合审判，将根据招标文件的规定选取一家投标人作为本项目的中标候选人。对未中标的投标人，不予经济补偿。</w:t>
            </w:r>
          </w:p>
        </w:tc>
      </w:tr>
      <w:tr w14:paraId="241DB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75" w:type="dxa"/>
            <w:shd w:val="clear" w:color="auto" w:fill="auto"/>
            <w:vAlign w:val="center"/>
          </w:tcPr>
          <w:p w14:paraId="4432DBBE">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31</w:t>
            </w:r>
          </w:p>
        </w:tc>
        <w:tc>
          <w:tcPr>
            <w:tcW w:w="1750" w:type="dxa"/>
            <w:vAlign w:val="center"/>
          </w:tcPr>
          <w:p w14:paraId="54D46B97">
            <w:pPr>
              <w:pStyle w:val="21"/>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需要补充的其他内容</w:t>
            </w:r>
          </w:p>
        </w:tc>
        <w:tc>
          <w:tcPr>
            <w:tcW w:w="6624" w:type="dxa"/>
            <w:vAlign w:val="center"/>
          </w:tcPr>
          <w:p w14:paraId="159C33F4">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1.不良行为记录是指：</w:t>
            </w:r>
          </w:p>
          <w:p w14:paraId="4D50ACCD">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（1）以受让或者借用或者涂改或者盗用或者伪造证书、图章、签名以及其他弄虚作假的方式参与响应的；</w:t>
            </w:r>
          </w:p>
          <w:p w14:paraId="65E80021">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（2）投标人相互串通参与响应或者与采购人串通参与采购的；</w:t>
            </w:r>
          </w:p>
          <w:p w14:paraId="7F28A56B">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（3）行贿或者索贿或者受贿或者接受其他好处的；</w:t>
            </w:r>
          </w:p>
          <w:p w14:paraId="3BEC4F7D">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（4）将成交项目进行转包或者违法分包的；</w:t>
            </w:r>
          </w:p>
          <w:p w14:paraId="6845017E">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（5）无故放弃成交的；</w:t>
            </w:r>
          </w:p>
          <w:p w14:paraId="70DCF469">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（6）不履行投标文件承诺的。</w:t>
            </w:r>
          </w:p>
          <w:p w14:paraId="049CDFDF">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2.解释顺序：</w:t>
            </w:r>
          </w:p>
          <w:p w14:paraId="3C80D1B0">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招标文件中采购人编制的内容前后有矛盾或不一致，有时间先后顺序的，以时间在后的修改、澄清或补正文件为准；没有时间先后顺序的，以公平的原则进行处理。</w:t>
            </w:r>
          </w:p>
          <w:p w14:paraId="56FC6D20">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3.其他：</w:t>
            </w:r>
          </w:p>
          <w:p w14:paraId="1047078E">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（1）所有投标人的投标文件必须是在接受采购人招标文件（含合同条款等）的基础上作出的承诺，若</w:t>
            </w:r>
            <w:r>
              <w:rPr>
                <w:rFonts w:hint="eastAsia" w:ascii="宋体" w:hAnsi="宋体" w:eastAsia="宋体" w:cs="宋体"/>
                <w:color w:val="auto"/>
                <w:sz w:val="24"/>
                <w:highlight w:val="none"/>
                <w:lang w:eastAsia="zh-CN"/>
              </w:rPr>
              <w:t>中标人</w:t>
            </w:r>
            <w:r>
              <w:rPr>
                <w:rFonts w:hint="eastAsia" w:ascii="宋体" w:hAnsi="宋体" w:eastAsia="宋体" w:cs="宋体"/>
                <w:color w:val="auto"/>
                <w:sz w:val="24"/>
                <w:highlight w:val="none"/>
              </w:rPr>
              <w:t>对招标文件（含合同条款等）提出修改要求，采购人可视为其不响应招标文件的实质性条款，取消其成交资格。</w:t>
            </w:r>
          </w:p>
          <w:p w14:paraId="2DF72CAD">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（2）除不可抗力等因素外，成交通知书发出后，采购人改变成交结果，或者</w:t>
            </w:r>
            <w:r>
              <w:rPr>
                <w:rFonts w:hint="eastAsia" w:ascii="宋体" w:hAnsi="宋体" w:eastAsia="宋体" w:cs="宋体"/>
                <w:color w:val="auto"/>
                <w:sz w:val="24"/>
                <w:highlight w:val="none"/>
                <w:lang w:eastAsia="zh-CN"/>
              </w:rPr>
              <w:t>中标人</w:t>
            </w:r>
            <w:r>
              <w:rPr>
                <w:rFonts w:hint="eastAsia" w:ascii="宋体" w:hAnsi="宋体" w:eastAsia="宋体" w:cs="宋体"/>
                <w:color w:val="auto"/>
                <w:sz w:val="24"/>
                <w:highlight w:val="none"/>
              </w:rPr>
              <w:t>拒绝签订政府采购合同的，应当承担相应的法律责任。</w:t>
            </w:r>
            <w:r>
              <w:rPr>
                <w:rFonts w:hint="eastAsia" w:ascii="宋体" w:hAnsi="宋体" w:eastAsia="宋体" w:cs="宋体"/>
                <w:color w:val="auto"/>
                <w:sz w:val="24"/>
                <w:highlight w:val="none"/>
                <w:lang w:eastAsia="zh-CN"/>
              </w:rPr>
              <w:t>中标人</w:t>
            </w:r>
            <w:r>
              <w:rPr>
                <w:rFonts w:hint="eastAsia" w:ascii="宋体" w:hAnsi="宋体" w:eastAsia="宋体" w:cs="宋体"/>
                <w:color w:val="auto"/>
                <w:sz w:val="24"/>
                <w:highlight w:val="none"/>
              </w:rPr>
              <w:t>拒绝签订政府采购合同的，采购人可以按照《中华人民共和国政府采购法实施条例》第四十九条规定的原则确定其他投标人作为</w:t>
            </w:r>
            <w:r>
              <w:rPr>
                <w:rFonts w:hint="eastAsia" w:ascii="宋体" w:hAnsi="宋体" w:eastAsia="宋体" w:cs="宋体"/>
                <w:color w:val="auto"/>
                <w:sz w:val="24"/>
                <w:highlight w:val="none"/>
                <w:lang w:eastAsia="zh-CN"/>
              </w:rPr>
              <w:t>中标人</w:t>
            </w:r>
            <w:r>
              <w:rPr>
                <w:rFonts w:hint="eastAsia" w:ascii="宋体" w:hAnsi="宋体" w:eastAsia="宋体" w:cs="宋体"/>
                <w:color w:val="auto"/>
                <w:sz w:val="24"/>
                <w:highlight w:val="none"/>
              </w:rPr>
              <w:t>并签订政府采购合同，也可以重新开展采购活动。拒绝签订政府采购合同的</w:t>
            </w:r>
            <w:r>
              <w:rPr>
                <w:rFonts w:hint="eastAsia" w:ascii="宋体" w:hAnsi="宋体" w:eastAsia="宋体" w:cs="宋体"/>
                <w:color w:val="auto"/>
                <w:sz w:val="24"/>
                <w:highlight w:val="none"/>
                <w:lang w:eastAsia="zh-CN"/>
              </w:rPr>
              <w:t>中标人</w:t>
            </w:r>
            <w:r>
              <w:rPr>
                <w:rFonts w:hint="eastAsia" w:ascii="宋体" w:hAnsi="宋体" w:eastAsia="宋体" w:cs="宋体"/>
                <w:color w:val="auto"/>
                <w:sz w:val="24"/>
                <w:highlight w:val="none"/>
              </w:rPr>
              <w:t>不得参加对该项目重新开展的采购活动。</w:t>
            </w:r>
          </w:p>
          <w:p w14:paraId="7A8DE9E1">
            <w:pPr>
              <w:spacing w:line="360" w:lineRule="auto"/>
              <w:rPr>
                <w:rFonts w:hint="eastAsia" w:ascii="宋体" w:hAnsi="宋体" w:eastAsia="宋体" w:cs="宋体"/>
                <w:color w:val="auto"/>
                <w:highlight w:val="none"/>
              </w:rPr>
            </w:pPr>
            <w:r>
              <w:rPr>
                <w:rFonts w:hint="eastAsia" w:ascii="宋体" w:hAnsi="宋体" w:eastAsia="宋体" w:cs="宋体"/>
                <w:color w:val="auto"/>
                <w:sz w:val="24"/>
                <w:highlight w:val="none"/>
              </w:rPr>
              <w:t>（3）本招标文件中的所有条款，包括合同条款均是招标文件的实质性组成部分，投标人的投标文件是在充分理解了招标文件（含合同条款）的所有条款后作出的决定，是对招标文件的实质性响应，投标人成交后不得对招标文件实质性内容进行修改或质询。若</w:t>
            </w:r>
            <w:r>
              <w:rPr>
                <w:rFonts w:hint="eastAsia" w:ascii="宋体" w:hAnsi="宋体" w:eastAsia="宋体" w:cs="宋体"/>
                <w:color w:val="auto"/>
                <w:sz w:val="24"/>
                <w:highlight w:val="none"/>
                <w:lang w:eastAsia="zh-CN"/>
              </w:rPr>
              <w:t>中标人</w:t>
            </w:r>
            <w:r>
              <w:rPr>
                <w:rFonts w:hint="eastAsia" w:ascii="宋体" w:hAnsi="宋体" w:eastAsia="宋体" w:cs="宋体"/>
                <w:color w:val="auto"/>
                <w:sz w:val="24"/>
                <w:highlight w:val="none"/>
              </w:rPr>
              <w:t>对招标文件（含合同条款）提出修改要求，采购人有权拒绝与之其签订合同，取消其成交候选人资格，由此产生的一切后果全部由</w:t>
            </w:r>
            <w:r>
              <w:rPr>
                <w:rFonts w:hint="eastAsia" w:ascii="宋体" w:hAnsi="宋体" w:eastAsia="宋体" w:cs="宋体"/>
                <w:color w:val="auto"/>
                <w:sz w:val="24"/>
                <w:highlight w:val="none"/>
                <w:lang w:eastAsia="zh-CN"/>
              </w:rPr>
              <w:t>中标人</w:t>
            </w:r>
            <w:r>
              <w:rPr>
                <w:rFonts w:hint="eastAsia" w:ascii="宋体" w:hAnsi="宋体" w:eastAsia="宋体" w:cs="宋体"/>
                <w:color w:val="auto"/>
                <w:sz w:val="24"/>
                <w:highlight w:val="none"/>
              </w:rPr>
              <w:t>承担。</w:t>
            </w:r>
          </w:p>
        </w:tc>
      </w:tr>
    </w:tbl>
    <w:p w14:paraId="6566BF41">
      <w:pPr>
        <w:rPr>
          <w:rFonts w:hint="eastAsia" w:ascii="宋体" w:hAnsi="宋体" w:eastAsia="宋体" w:cs="宋体"/>
          <w:color w:val="auto"/>
          <w:highlight w:val="none"/>
        </w:rPr>
      </w:pPr>
    </w:p>
    <w:p w14:paraId="3055419D">
      <w:pPr>
        <w:pStyle w:val="3"/>
        <w:spacing w:before="0"/>
        <w:rPr>
          <w:rFonts w:hint="eastAsia" w:ascii="宋体" w:hAnsi="宋体" w:eastAsia="宋体" w:cs="宋体"/>
          <w:color w:val="auto"/>
          <w:szCs w:val="28"/>
          <w:highlight w:val="none"/>
        </w:rPr>
      </w:pPr>
      <w:r>
        <w:rPr>
          <w:rFonts w:hint="eastAsia" w:ascii="宋体" w:hAnsi="宋体" w:eastAsia="宋体" w:cs="宋体"/>
          <w:color w:val="auto"/>
          <w:szCs w:val="28"/>
          <w:highlight w:val="none"/>
        </w:rPr>
        <w:br w:type="page"/>
      </w:r>
      <w:bookmarkStart w:id="52" w:name="_Toc20648"/>
      <w:bookmarkStart w:id="53" w:name="_Toc10398"/>
      <w:bookmarkStart w:id="54" w:name="_Toc15725"/>
      <w:bookmarkStart w:id="55" w:name="_Toc19389"/>
      <w:r>
        <w:rPr>
          <w:rFonts w:hint="eastAsia" w:ascii="宋体" w:hAnsi="宋体" w:eastAsia="宋体" w:cs="宋体"/>
          <w:color w:val="auto"/>
          <w:szCs w:val="28"/>
          <w:highlight w:val="none"/>
        </w:rPr>
        <w:t>一、总则</w:t>
      </w:r>
      <w:bookmarkEnd w:id="52"/>
      <w:bookmarkEnd w:id="53"/>
      <w:bookmarkEnd w:id="54"/>
      <w:bookmarkEnd w:id="55"/>
    </w:p>
    <w:p w14:paraId="51C2F867">
      <w:pPr>
        <w:pStyle w:val="4"/>
        <w:spacing w:before="0" w:line="400" w:lineRule="exact"/>
        <w:ind w:left="420" w:hanging="420"/>
        <w:rPr>
          <w:rFonts w:hint="eastAsia" w:ascii="宋体" w:hAnsi="宋体" w:eastAsia="宋体" w:cs="宋体"/>
          <w:color w:val="auto"/>
          <w:sz w:val="24"/>
          <w:szCs w:val="24"/>
          <w:highlight w:val="none"/>
        </w:rPr>
      </w:pPr>
      <w:bookmarkStart w:id="56" w:name="_Toc30115"/>
      <w:bookmarkStart w:id="57" w:name="_Toc1255"/>
      <w:r>
        <w:rPr>
          <w:rFonts w:hint="eastAsia" w:ascii="宋体" w:hAnsi="宋体" w:eastAsia="宋体" w:cs="宋体"/>
          <w:color w:val="auto"/>
          <w:sz w:val="24"/>
          <w:szCs w:val="24"/>
          <w:highlight w:val="none"/>
        </w:rPr>
        <w:t>1.项目概况</w:t>
      </w:r>
      <w:bookmarkEnd w:id="56"/>
      <w:bookmarkEnd w:id="57"/>
    </w:p>
    <w:p w14:paraId="3FC0757D">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1.1根据《中华人民共和国招标投标法》、《中华人民共和国政府采购法》、《政府采购货物和服务招标投标管理办法》(财政部令第87号)等有关法律、法规和规章的规定，本项目已获得政府采购主管部门的批准，项目资金已落实。现对本项目进行公开招标。</w:t>
      </w:r>
    </w:p>
    <w:p w14:paraId="55680FBB">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1.2采购人：见投标人须知前附表。</w:t>
      </w:r>
    </w:p>
    <w:p w14:paraId="1430522D">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1.3采购代理机构：见投标人须知前附表。</w:t>
      </w:r>
    </w:p>
    <w:p w14:paraId="1CCD48A3">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1.4招标项目名称：见投标人须知前附表。</w:t>
      </w:r>
    </w:p>
    <w:p w14:paraId="0A686937">
      <w:pPr>
        <w:pStyle w:val="4"/>
        <w:spacing w:before="0"/>
        <w:ind w:left="420" w:hanging="420"/>
        <w:rPr>
          <w:rFonts w:hint="eastAsia" w:ascii="宋体" w:hAnsi="宋体" w:eastAsia="宋体" w:cs="宋体"/>
          <w:color w:val="auto"/>
          <w:sz w:val="24"/>
          <w:szCs w:val="24"/>
          <w:highlight w:val="none"/>
        </w:rPr>
      </w:pPr>
      <w:bookmarkStart w:id="58" w:name="_Toc8337"/>
      <w:bookmarkStart w:id="59" w:name="_Toc4092"/>
      <w:r>
        <w:rPr>
          <w:rFonts w:hint="eastAsia" w:ascii="宋体" w:hAnsi="宋体" w:eastAsia="宋体" w:cs="宋体"/>
          <w:color w:val="auto"/>
          <w:sz w:val="24"/>
          <w:szCs w:val="24"/>
          <w:highlight w:val="none"/>
        </w:rPr>
        <w:t>2.资金来源</w:t>
      </w:r>
      <w:bookmarkEnd w:id="58"/>
      <w:bookmarkEnd w:id="59"/>
    </w:p>
    <w:p w14:paraId="629907D8">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2.1资金落实情况：已落实。</w:t>
      </w:r>
    </w:p>
    <w:p w14:paraId="23CED165">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2.2预算金额：</w:t>
      </w:r>
      <w:bookmarkStart w:id="60" w:name="_Hlk75008812"/>
      <w:r>
        <w:rPr>
          <w:rFonts w:hint="eastAsia" w:ascii="宋体" w:hAnsi="宋体" w:eastAsia="宋体" w:cs="宋体"/>
          <w:color w:val="auto"/>
          <w:sz w:val="24"/>
          <w:highlight w:val="none"/>
        </w:rPr>
        <w:t>见“投标人须知前附表”。</w:t>
      </w:r>
      <w:bookmarkEnd w:id="60"/>
    </w:p>
    <w:p w14:paraId="5043E70F">
      <w:pPr>
        <w:pStyle w:val="4"/>
        <w:spacing w:before="0"/>
        <w:ind w:left="420" w:hanging="420"/>
        <w:rPr>
          <w:rFonts w:hint="eastAsia" w:ascii="宋体" w:hAnsi="宋体" w:eastAsia="宋体" w:cs="宋体"/>
          <w:color w:val="auto"/>
          <w:sz w:val="24"/>
          <w:szCs w:val="24"/>
          <w:highlight w:val="none"/>
        </w:rPr>
      </w:pPr>
      <w:bookmarkStart w:id="61" w:name="_Toc22359"/>
      <w:bookmarkStart w:id="62" w:name="_Toc2461"/>
      <w:r>
        <w:rPr>
          <w:rFonts w:hint="eastAsia" w:ascii="宋体" w:hAnsi="宋体" w:eastAsia="宋体" w:cs="宋体"/>
          <w:color w:val="auto"/>
          <w:sz w:val="24"/>
          <w:szCs w:val="24"/>
          <w:highlight w:val="none"/>
        </w:rPr>
        <w:t>3.采购需求及合同履行期限</w:t>
      </w:r>
      <w:bookmarkEnd w:id="61"/>
      <w:bookmarkEnd w:id="62"/>
    </w:p>
    <w:p w14:paraId="5803FC58">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3.1本项目采购需求：见“投标人须知前附表”。</w:t>
      </w:r>
    </w:p>
    <w:p w14:paraId="2BF4AA44">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3.2本项目合同履行期限：见“投标人须知前附表”。</w:t>
      </w:r>
    </w:p>
    <w:p w14:paraId="6434B490">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3.3本项目项目实施地点：见“投标人须知前附表”。</w:t>
      </w:r>
    </w:p>
    <w:p w14:paraId="54FFEB8D">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3.4本项目质量标准：见“投标人须知前附表”。</w:t>
      </w:r>
    </w:p>
    <w:p w14:paraId="78FC67FF">
      <w:pPr>
        <w:pStyle w:val="4"/>
        <w:spacing w:before="0"/>
        <w:ind w:left="420" w:hanging="420"/>
        <w:rPr>
          <w:rFonts w:hint="eastAsia" w:ascii="宋体" w:hAnsi="宋体" w:eastAsia="宋体" w:cs="宋体"/>
          <w:color w:val="auto"/>
          <w:sz w:val="24"/>
          <w:szCs w:val="24"/>
          <w:highlight w:val="none"/>
        </w:rPr>
      </w:pPr>
      <w:bookmarkStart w:id="63" w:name="_Toc23497"/>
      <w:bookmarkStart w:id="64" w:name="_Toc15554"/>
      <w:r>
        <w:rPr>
          <w:rFonts w:hint="eastAsia" w:ascii="宋体" w:hAnsi="宋体" w:eastAsia="宋体" w:cs="宋体"/>
          <w:color w:val="auto"/>
          <w:sz w:val="24"/>
          <w:szCs w:val="24"/>
          <w:highlight w:val="none"/>
        </w:rPr>
        <w:t>4.合格的投标人</w:t>
      </w:r>
      <w:bookmarkEnd w:id="63"/>
      <w:bookmarkEnd w:id="64"/>
    </w:p>
    <w:p w14:paraId="062E916F">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4.1合格的投标人：见“投标人须知前附表”。</w:t>
      </w:r>
    </w:p>
    <w:p w14:paraId="438E031A">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4.2本次招标不接受联合体投标。</w:t>
      </w:r>
    </w:p>
    <w:p w14:paraId="3A19C3A1">
      <w:pPr>
        <w:pStyle w:val="4"/>
        <w:spacing w:before="0"/>
        <w:ind w:left="420" w:hanging="420"/>
        <w:rPr>
          <w:rFonts w:hint="eastAsia" w:ascii="宋体" w:hAnsi="宋体" w:eastAsia="宋体" w:cs="宋体"/>
          <w:color w:val="auto"/>
          <w:sz w:val="24"/>
          <w:szCs w:val="24"/>
          <w:highlight w:val="none"/>
        </w:rPr>
      </w:pPr>
      <w:bookmarkStart w:id="65" w:name="_Toc7676"/>
      <w:bookmarkStart w:id="66" w:name="_Toc14599"/>
      <w:r>
        <w:rPr>
          <w:rFonts w:hint="eastAsia" w:ascii="宋体" w:hAnsi="宋体" w:eastAsia="宋体" w:cs="宋体"/>
          <w:color w:val="auto"/>
          <w:sz w:val="24"/>
          <w:szCs w:val="24"/>
          <w:highlight w:val="none"/>
        </w:rPr>
        <w:t>5.投标费用</w:t>
      </w:r>
      <w:bookmarkEnd w:id="65"/>
      <w:bookmarkEnd w:id="66"/>
    </w:p>
    <w:p w14:paraId="0972C066">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不论投标结果如何，投标人均应自行承担所有与准备和参加投标活动有关的全部费用。</w:t>
      </w:r>
    </w:p>
    <w:p w14:paraId="124BB26B">
      <w:pPr>
        <w:pStyle w:val="3"/>
        <w:spacing w:before="0"/>
        <w:jc w:val="center"/>
        <w:rPr>
          <w:rFonts w:hint="eastAsia" w:ascii="宋体" w:hAnsi="宋体" w:eastAsia="宋体" w:cs="宋体"/>
          <w:color w:val="auto"/>
          <w:szCs w:val="28"/>
          <w:highlight w:val="none"/>
        </w:rPr>
      </w:pPr>
      <w:bookmarkStart w:id="67" w:name="_Toc31177"/>
      <w:bookmarkStart w:id="68" w:name="_Toc19732"/>
      <w:bookmarkStart w:id="69" w:name="_Toc31223"/>
      <w:bookmarkStart w:id="70" w:name="_Toc24398"/>
      <w:r>
        <w:rPr>
          <w:rFonts w:hint="eastAsia" w:ascii="宋体" w:hAnsi="宋体" w:eastAsia="宋体" w:cs="宋体"/>
          <w:color w:val="auto"/>
          <w:szCs w:val="28"/>
          <w:highlight w:val="none"/>
        </w:rPr>
        <w:t>二、招标文件</w:t>
      </w:r>
      <w:bookmarkEnd w:id="67"/>
      <w:bookmarkEnd w:id="68"/>
      <w:bookmarkEnd w:id="69"/>
      <w:bookmarkEnd w:id="70"/>
    </w:p>
    <w:p w14:paraId="7D087089">
      <w:pPr>
        <w:pStyle w:val="4"/>
        <w:spacing w:before="0" w:line="400" w:lineRule="exact"/>
        <w:ind w:left="420" w:hanging="420"/>
        <w:rPr>
          <w:rFonts w:hint="eastAsia" w:ascii="宋体" w:hAnsi="宋体" w:eastAsia="宋体" w:cs="宋体"/>
          <w:color w:val="auto"/>
          <w:sz w:val="24"/>
          <w:szCs w:val="24"/>
          <w:highlight w:val="none"/>
        </w:rPr>
      </w:pPr>
      <w:bookmarkStart w:id="71" w:name="_Toc10063"/>
      <w:bookmarkStart w:id="72" w:name="_Toc3105"/>
      <w:r>
        <w:rPr>
          <w:rFonts w:hint="eastAsia" w:ascii="宋体" w:hAnsi="宋体" w:eastAsia="宋体" w:cs="宋体"/>
          <w:color w:val="auto"/>
          <w:sz w:val="24"/>
          <w:szCs w:val="24"/>
          <w:highlight w:val="none"/>
        </w:rPr>
        <w:t>6.招标文件构成</w:t>
      </w:r>
      <w:bookmarkEnd w:id="71"/>
      <w:bookmarkEnd w:id="72"/>
    </w:p>
    <w:p w14:paraId="47D2246A">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6.1招标文件包括：包含招标公告（或投标邀请书）、投标人须知、合同</w:t>
      </w:r>
      <w:r>
        <w:rPr>
          <w:rFonts w:hint="eastAsia" w:ascii="宋体" w:hAnsi="宋体" w:eastAsia="宋体" w:cs="宋体"/>
          <w:color w:val="auto"/>
          <w:sz w:val="24"/>
          <w:highlight w:val="none"/>
          <w:lang w:val="en-US" w:eastAsia="zh-CN"/>
        </w:rPr>
        <w:t>书样式及主要</w:t>
      </w:r>
      <w:r>
        <w:rPr>
          <w:rFonts w:hint="eastAsia" w:ascii="宋体" w:hAnsi="宋体" w:eastAsia="宋体" w:cs="宋体"/>
          <w:color w:val="auto"/>
          <w:sz w:val="24"/>
          <w:highlight w:val="none"/>
        </w:rPr>
        <w:t>条款、</w:t>
      </w:r>
      <w:r>
        <w:rPr>
          <w:rFonts w:hint="eastAsia" w:ascii="宋体" w:hAnsi="宋体" w:eastAsia="宋体" w:cs="宋体"/>
          <w:color w:val="auto"/>
          <w:sz w:val="24"/>
          <w:highlight w:val="none"/>
          <w:lang w:val="en-US" w:eastAsia="zh-CN"/>
        </w:rPr>
        <w:t>采购需</w:t>
      </w:r>
      <w:r>
        <w:rPr>
          <w:rFonts w:hint="eastAsia" w:ascii="宋体" w:hAnsi="宋体" w:eastAsia="宋体" w:cs="宋体"/>
          <w:color w:val="auto"/>
          <w:sz w:val="24"/>
          <w:highlight w:val="none"/>
        </w:rPr>
        <w:t>求、</w:t>
      </w:r>
      <w:r>
        <w:rPr>
          <w:rFonts w:hint="eastAsia" w:ascii="宋体" w:hAnsi="宋体" w:eastAsia="宋体" w:cs="宋体"/>
          <w:color w:val="auto"/>
          <w:sz w:val="24"/>
          <w:highlight w:val="none"/>
          <w:lang w:val="en-US" w:eastAsia="zh-CN"/>
        </w:rPr>
        <w:t>资格评审标准、</w:t>
      </w:r>
      <w:r>
        <w:rPr>
          <w:rFonts w:hint="eastAsia" w:ascii="宋体" w:hAnsi="宋体" w:eastAsia="宋体" w:cs="宋体"/>
          <w:color w:val="auto"/>
          <w:sz w:val="24"/>
          <w:highlight w:val="none"/>
        </w:rPr>
        <w:t>评标办法、投标文件格式、投标人须知前附表规定的其他材料；</w:t>
      </w:r>
    </w:p>
    <w:p w14:paraId="63CBDF08">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6.2根据本章对招标文件所作的澄清、修改，构成招标文件的组成部分。</w:t>
      </w:r>
    </w:p>
    <w:p w14:paraId="1F381EA9">
      <w:pPr>
        <w:pStyle w:val="4"/>
        <w:spacing w:before="0" w:line="400" w:lineRule="exact"/>
        <w:ind w:left="420" w:hanging="420"/>
        <w:rPr>
          <w:rFonts w:hint="eastAsia" w:ascii="宋体" w:hAnsi="宋体" w:eastAsia="宋体" w:cs="宋体"/>
          <w:color w:val="auto"/>
          <w:sz w:val="24"/>
          <w:szCs w:val="24"/>
          <w:highlight w:val="none"/>
        </w:rPr>
      </w:pPr>
      <w:bookmarkStart w:id="73" w:name="_Toc14159"/>
      <w:bookmarkStart w:id="74" w:name="_Toc6583"/>
      <w:r>
        <w:rPr>
          <w:rFonts w:hint="eastAsia" w:ascii="宋体" w:hAnsi="宋体" w:eastAsia="宋体" w:cs="宋体"/>
          <w:color w:val="auto"/>
          <w:sz w:val="24"/>
          <w:szCs w:val="24"/>
          <w:highlight w:val="none"/>
        </w:rPr>
        <w:t>7.招标文件的澄清</w:t>
      </w:r>
      <w:bookmarkEnd w:id="73"/>
      <w:bookmarkEnd w:id="74"/>
    </w:p>
    <w:p w14:paraId="46FCEA53">
      <w:pPr>
        <w:spacing w:line="360" w:lineRule="auto"/>
        <w:ind w:firstLine="480" w:firstLineChars="200"/>
        <w:jc w:val="left"/>
        <w:rPr>
          <w:rFonts w:hint="eastAsia" w:ascii="宋体" w:hAnsi="宋体" w:eastAsia="宋体" w:cs="宋体"/>
          <w:color w:val="auto"/>
          <w:sz w:val="24"/>
          <w:highlight w:val="none"/>
        </w:rPr>
      </w:pPr>
      <w:bookmarkStart w:id="75" w:name="_Toc12923"/>
      <w:r>
        <w:rPr>
          <w:rFonts w:hint="eastAsia" w:ascii="宋体" w:hAnsi="宋体" w:eastAsia="宋体" w:cs="宋体"/>
          <w:color w:val="auto"/>
          <w:sz w:val="24"/>
          <w:highlight w:val="none"/>
        </w:rPr>
        <w:t>7.1投标人应认真核查招标文件，如有疑问的，投标人可以在 “投标人须知前附表”规定截止时间前以在线不署名提交要求采购人澄清，截止时间后送达的澄清要求不予接受。所有获取了采购文件的潜在投标人凭企业数字证书（CA）登录政采云平台（https://www.zcygov.cn/），通过在线方式进行不署名提问。</w:t>
      </w:r>
    </w:p>
    <w:p w14:paraId="6FB63D14">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7.2任何要求对招标文件进行澄清的潜在投标人，在政采云平台及书面形式通知采购代理机构。采购代理机构对投标人自获取招标文件之日起7个工作日内收到的对招标文件的澄清要求均以书面形式予以答复，同时将书面答复通知每个获取招标文件的投标人，答复中包括所问问题，但不包括问题的来源；逾期提交的的疑问问题将不予回答。</w:t>
      </w:r>
    </w:p>
    <w:p w14:paraId="3D521AAE">
      <w:pPr>
        <w:pStyle w:val="4"/>
        <w:spacing w:before="0" w:line="400" w:lineRule="exact"/>
        <w:rPr>
          <w:rFonts w:hint="eastAsia" w:ascii="宋体" w:hAnsi="宋体" w:eastAsia="宋体" w:cs="宋体"/>
          <w:color w:val="auto"/>
          <w:sz w:val="24"/>
          <w:szCs w:val="24"/>
          <w:highlight w:val="none"/>
        </w:rPr>
      </w:pPr>
      <w:bookmarkStart w:id="76" w:name="_Toc21716"/>
      <w:r>
        <w:rPr>
          <w:rFonts w:hint="eastAsia" w:ascii="宋体" w:hAnsi="宋体" w:eastAsia="宋体" w:cs="宋体"/>
          <w:color w:val="auto"/>
          <w:sz w:val="24"/>
          <w:szCs w:val="24"/>
          <w:highlight w:val="none"/>
        </w:rPr>
        <w:t>8.招标文件的修改</w:t>
      </w:r>
      <w:bookmarkEnd w:id="75"/>
      <w:bookmarkEnd w:id="76"/>
    </w:p>
    <w:p w14:paraId="11D66D24">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8.1在投标截止时间15天前，确需要变更招标文件内容的，采购人可主动或在解答投标人提出的澄清问题时对招标文件进行修改，并同时报主管部门备案。无论对评标办法、评审项目等重要评审内容作何种变更，都要重新制作技术标招标文件，并重新备案，同时发布补遗文件进行说明以保证各投标人都能获取招标文件用于编制投标文件。招标文件的修改将在原公告发布网站发布，招标文件的修改作为招标文件的组成部分，并具有约束力。</w:t>
      </w:r>
    </w:p>
    <w:p w14:paraId="6A25AF14">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8.2投标人应在投标截止时间前及时登录政采云平台（https://www.zcygov.cn/）中查看有关该公开招标文件的答疑、补遗内容。否则，后果自负。</w:t>
      </w:r>
    </w:p>
    <w:p w14:paraId="42BA8A87">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8.3招标文件澄清、招标文件修改文件内容均以网上电子文件为准，当招标文件、招标文件澄清、招标文件修改文件内容前后相互矛盾时，以最后发出的为准。</w:t>
      </w:r>
    </w:p>
    <w:p w14:paraId="096124FA">
      <w:pPr>
        <w:pStyle w:val="3"/>
        <w:spacing w:before="0"/>
        <w:jc w:val="center"/>
        <w:rPr>
          <w:rFonts w:hint="eastAsia" w:ascii="宋体" w:hAnsi="宋体" w:eastAsia="宋体" w:cs="宋体"/>
          <w:color w:val="auto"/>
          <w:szCs w:val="28"/>
          <w:highlight w:val="none"/>
        </w:rPr>
      </w:pPr>
      <w:bookmarkStart w:id="77" w:name="_Toc10777"/>
      <w:bookmarkStart w:id="78" w:name="_Toc29495"/>
      <w:bookmarkStart w:id="79" w:name="_Toc3593"/>
      <w:bookmarkStart w:id="80" w:name="_Toc3303"/>
      <w:r>
        <w:rPr>
          <w:rFonts w:hint="eastAsia" w:ascii="宋体" w:hAnsi="宋体" w:eastAsia="宋体" w:cs="宋体"/>
          <w:color w:val="auto"/>
          <w:szCs w:val="28"/>
          <w:highlight w:val="none"/>
        </w:rPr>
        <w:t>三、投标文件的编制</w:t>
      </w:r>
      <w:bookmarkEnd w:id="77"/>
      <w:bookmarkEnd w:id="78"/>
      <w:bookmarkEnd w:id="79"/>
      <w:bookmarkEnd w:id="80"/>
    </w:p>
    <w:p w14:paraId="6ED44CAE">
      <w:pPr>
        <w:pStyle w:val="4"/>
        <w:spacing w:before="0"/>
        <w:ind w:left="420" w:hanging="420"/>
        <w:rPr>
          <w:rFonts w:hint="eastAsia" w:ascii="宋体" w:hAnsi="宋体" w:eastAsia="宋体" w:cs="宋体"/>
          <w:color w:val="auto"/>
          <w:sz w:val="24"/>
          <w:szCs w:val="24"/>
          <w:highlight w:val="none"/>
        </w:rPr>
      </w:pPr>
      <w:bookmarkStart w:id="81" w:name="_Toc13675"/>
      <w:bookmarkStart w:id="82" w:name="_Toc8272"/>
      <w:r>
        <w:rPr>
          <w:rFonts w:hint="eastAsia" w:ascii="宋体" w:hAnsi="宋体" w:eastAsia="宋体" w:cs="宋体"/>
          <w:color w:val="auto"/>
          <w:sz w:val="24"/>
          <w:szCs w:val="24"/>
          <w:highlight w:val="none"/>
        </w:rPr>
        <w:t>9.投标文件编写注意事项</w:t>
      </w:r>
      <w:bookmarkEnd w:id="81"/>
      <w:bookmarkEnd w:id="82"/>
    </w:p>
    <w:p w14:paraId="618EA273">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9.1 投标人应仔细阅读招标文件，在完全了解采购的内容、技术性能要求（见第</w:t>
      </w:r>
      <w:r>
        <w:rPr>
          <w:rFonts w:hint="eastAsia" w:ascii="宋体" w:hAnsi="宋体" w:eastAsia="宋体" w:cs="宋体"/>
          <w:color w:val="auto"/>
          <w:sz w:val="24"/>
          <w:highlight w:val="none"/>
          <w:lang w:val="en-US" w:eastAsia="zh-CN"/>
        </w:rPr>
        <w:t>四</w:t>
      </w:r>
      <w:r>
        <w:rPr>
          <w:rFonts w:hint="eastAsia" w:ascii="宋体" w:hAnsi="宋体" w:eastAsia="宋体" w:cs="宋体"/>
          <w:color w:val="auto"/>
          <w:sz w:val="24"/>
          <w:highlight w:val="none"/>
        </w:rPr>
        <w:t>章“采购需求”）和商务条件后，编写投标文件。如果没有按照招标文件要求提交全部投标文件或者资料，没有对招标文件的实质性要求和条件作出响应是投标人的风险，并可能导致该投标被拒绝。</w:t>
      </w:r>
    </w:p>
    <w:p w14:paraId="37FAFDB4">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bCs/>
          <w:color w:val="auto"/>
          <w:sz w:val="24"/>
          <w:highlight w:val="none"/>
        </w:rPr>
        <w:t>9.2投标文件的</w:t>
      </w:r>
      <w:r>
        <w:rPr>
          <w:rFonts w:hint="eastAsia" w:ascii="宋体" w:hAnsi="宋体" w:eastAsia="宋体" w:cs="宋体"/>
          <w:color w:val="auto"/>
          <w:sz w:val="24"/>
          <w:highlight w:val="none"/>
        </w:rPr>
        <w:t xml:space="preserve">签署按“投标人须知前附表”。 </w:t>
      </w:r>
    </w:p>
    <w:p w14:paraId="32E3B9C2">
      <w:pPr>
        <w:spacing w:line="360" w:lineRule="auto"/>
        <w:ind w:firstLine="480" w:firstLineChars="200"/>
        <w:jc w:val="left"/>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9.3实质性要求和条件按“投标人须知</w:t>
      </w:r>
      <w:r>
        <w:rPr>
          <w:rFonts w:hint="eastAsia" w:ascii="宋体" w:hAnsi="宋体" w:eastAsia="宋体" w:cs="宋体"/>
          <w:bCs/>
          <w:color w:val="auto"/>
          <w:sz w:val="24"/>
          <w:highlight w:val="none"/>
        </w:rPr>
        <w:t>前附表”。</w:t>
      </w:r>
    </w:p>
    <w:p w14:paraId="655A195F">
      <w:pPr>
        <w:pStyle w:val="4"/>
        <w:spacing w:before="0"/>
        <w:ind w:left="420" w:hanging="420"/>
        <w:rPr>
          <w:rFonts w:hint="eastAsia" w:ascii="宋体" w:hAnsi="宋体" w:eastAsia="宋体" w:cs="宋体"/>
          <w:color w:val="auto"/>
          <w:sz w:val="24"/>
          <w:szCs w:val="24"/>
          <w:highlight w:val="none"/>
        </w:rPr>
      </w:pPr>
      <w:bookmarkStart w:id="83" w:name="_Toc5686"/>
      <w:bookmarkStart w:id="84" w:name="_Toc31672"/>
      <w:r>
        <w:rPr>
          <w:rFonts w:hint="eastAsia" w:ascii="宋体" w:hAnsi="宋体" w:eastAsia="宋体" w:cs="宋体"/>
          <w:color w:val="auto"/>
          <w:sz w:val="24"/>
          <w:szCs w:val="24"/>
          <w:highlight w:val="none"/>
        </w:rPr>
        <w:t>10.语言及计量单位</w:t>
      </w:r>
      <w:bookmarkEnd w:id="83"/>
      <w:bookmarkEnd w:id="84"/>
    </w:p>
    <w:p w14:paraId="4C8C3FCE">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10.1投标人的投标文件以及投标人与采购代理机构就有关投标的所有来往函电统一使用中文（特别规定除外）。</w:t>
      </w:r>
    </w:p>
    <w:p w14:paraId="3B78AA10">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10.2投标文件中使用的计量单位除招标文件中有特殊规定外，一律使用中国法定计量单位。</w:t>
      </w:r>
    </w:p>
    <w:p w14:paraId="1F20F4B1">
      <w:pPr>
        <w:pStyle w:val="4"/>
        <w:spacing w:before="0"/>
        <w:ind w:left="420" w:hanging="420"/>
        <w:rPr>
          <w:rFonts w:hint="eastAsia" w:ascii="宋体" w:hAnsi="宋体" w:eastAsia="宋体" w:cs="宋体"/>
          <w:color w:val="auto"/>
          <w:sz w:val="24"/>
          <w:szCs w:val="24"/>
          <w:highlight w:val="none"/>
        </w:rPr>
      </w:pPr>
      <w:bookmarkStart w:id="85" w:name="_Toc29623"/>
      <w:bookmarkStart w:id="86" w:name="_Toc15107"/>
      <w:r>
        <w:rPr>
          <w:rFonts w:hint="eastAsia" w:ascii="宋体" w:hAnsi="宋体" w:eastAsia="宋体" w:cs="宋体"/>
          <w:color w:val="auto"/>
          <w:sz w:val="24"/>
          <w:szCs w:val="24"/>
          <w:highlight w:val="none"/>
        </w:rPr>
        <w:t>11.投标文件的格式要求</w:t>
      </w:r>
      <w:bookmarkEnd w:id="85"/>
      <w:bookmarkEnd w:id="86"/>
    </w:p>
    <w:p w14:paraId="4E57EBB6">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11.1投标文件资格审查部分按第</w:t>
      </w:r>
      <w:r>
        <w:rPr>
          <w:rFonts w:hint="eastAsia" w:ascii="宋体" w:hAnsi="宋体" w:eastAsia="宋体" w:cs="宋体"/>
          <w:color w:val="auto"/>
          <w:sz w:val="24"/>
          <w:highlight w:val="none"/>
          <w:lang w:val="en-US" w:eastAsia="zh-CN"/>
        </w:rPr>
        <w:t>七</w:t>
      </w:r>
      <w:r>
        <w:rPr>
          <w:rFonts w:hint="eastAsia" w:ascii="宋体" w:hAnsi="宋体" w:eastAsia="宋体" w:cs="宋体"/>
          <w:color w:val="auto"/>
          <w:sz w:val="24"/>
          <w:highlight w:val="none"/>
        </w:rPr>
        <w:t>章“投标文件格式”资格审查部分中的内容。</w:t>
      </w:r>
    </w:p>
    <w:p w14:paraId="1DFA94EA">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11.2投标文件商务技术部分按第</w:t>
      </w:r>
      <w:r>
        <w:rPr>
          <w:rFonts w:hint="eastAsia" w:ascii="宋体" w:hAnsi="宋体" w:eastAsia="宋体" w:cs="宋体"/>
          <w:color w:val="auto"/>
          <w:sz w:val="24"/>
          <w:highlight w:val="none"/>
          <w:lang w:val="en-US" w:eastAsia="zh-CN"/>
        </w:rPr>
        <w:t>七</w:t>
      </w:r>
      <w:r>
        <w:rPr>
          <w:rFonts w:hint="eastAsia" w:ascii="宋体" w:hAnsi="宋体" w:eastAsia="宋体" w:cs="宋体"/>
          <w:color w:val="auto"/>
          <w:sz w:val="24"/>
          <w:highlight w:val="none"/>
        </w:rPr>
        <w:t>章“投标文件格式”商务技术部分中的内容。</w:t>
      </w:r>
    </w:p>
    <w:p w14:paraId="312F88C9">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11.3投标人在评标过程中作出的符合法律法规和招标文件规定的澄清确认，构成投标文件的组成部分。</w:t>
      </w:r>
    </w:p>
    <w:p w14:paraId="079F4E35">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color w:val="auto"/>
          <w:sz w:val="24"/>
          <w:highlight w:val="none"/>
        </w:rPr>
        <w:t>11.4构成投标文件的其他资料按“须知前附表”。</w:t>
      </w:r>
    </w:p>
    <w:p w14:paraId="0587E9CD">
      <w:pPr>
        <w:pStyle w:val="4"/>
        <w:spacing w:before="0"/>
        <w:ind w:left="420" w:hanging="420"/>
        <w:rPr>
          <w:rFonts w:hint="eastAsia" w:ascii="宋体" w:hAnsi="宋体" w:eastAsia="宋体" w:cs="宋体"/>
          <w:color w:val="auto"/>
          <w:sz w:val="24"/>
          <w:szCs w:val="24"/>
          <w:highlight w:val="none"/>
        </w:rPr>
      </w:pPr>
      <w:bookmarkStart w:id="87" w:name="_Toc9785"/>
      <w:bookmarkStart w:id="88" w:name="_Toc21267"/>
      <w:r>
        <w:rPr>
          <w:rFonts w:hint="eastAsia" w:ascii="宋体" w:hAnsi="宋体" w:eastAsia="宋体" w:cs="宋体"/>
          <w:color w:val="auto"/>
          <w:sz w:val="24"/>
          <w:szCs w:val="24"/>
          <w:highlight w:val="none"/>
        </w:rPr>
        <w:t>12.投标报价</w:t>
      </w:r>
      <w:bookmarkEnd w:id="87"/>
      <w:bookmarkEnd w:id="88"/>
    </w:p>
    <w:p w14:paraId="4A2106D5">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12.1投标人须就“采购需求”中的所投包内容作</w:t>
      </w:r>
      <w:r>
        <w:rPr>
          <w:rFonts w:hint="eastAsia" w:ascii="宋体" w:hAnsi="宋体" w:eastAsia="宋体" w:cs="宋体"/>
          <w:color w:val="auto"/>
          <w:sz w:val="24"/>
          <w:highlight w:val="none"/>
          <w:lang w:val="en-US" w:eastAsia="zh-CN"/>
        </w:rPr>
        <w:t>出</w:t>
      </w:r>
      <w:r>
        <w:rPr>
          <w:rFonts w:hint="eastAsia" w:ascii="宋体" w:hAnsi="宋体" w:eastAsia="宋体" w:cs="宋体"/>
          <w:color w:val="auto"/>
          <w:sz w:val="24"/>
          <w:highlight w:val="none"/>
        </w:rPr>
        <w:t>完整唯一报价。</w:t>
      </w:r>
    </w:p>
    <w:p w14:paraId="6127841A">
      <w:pPr>
        <w:spacing w:line="360" w:lineRule="auto"/>
        <w:ind w:firstLine="480" w:firstLineChars="200"/>
        <w:jc w:val="left"/>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12.2</w:t>
      </w:r>
      <w:r>
        <w:rPr>
          <w:rFonts w:hint="eastAsia" w:ascii="宋体" w:hAnsi="宋体" w:eastAsia="宋体" w:cs="宋体"/>
          <w:b/>
          <w:bCs/>
          <w:color w:val="auto"/>
          <w:sz w:val="24"/>
          <w:highlight w:val="none"/>
        </w:rPr>
        <w:t>本项目采用包干总价方式报价，此价格在合同签订后将不作调整。</w:t>
      </w:r>
    </w:p>
    <w:p w14:paraId="30796B6E">
      <w:pPr>
        <w:spacing w:line="360" w:lineRule="auto"/>
        <w:ind w:firstLine="480" w:firstLineChars="200"/>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报价包括但不仅限于劳务费（工资、劳保、各种保险及国家规定的相关福利等），设备费、软件费、服务费、运输费、安装调试费、培训费、税费等的总和，该报价应考虑市场风险、政策性风险、汇率风险等因素，并能保证投标人完成履行合同所需的全部工作，此价格在合同签订后将不作调整。</w:t>
      </w:r>
    </w:p>
    <w:p w14:paraId="3D1B1D20">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12.3投标人的投标报价应依据招标文件的要求及有关资料，执行国家规定的现行技术、经济标准、定额及规范，由投标人自行测算出现行市场的各类价格。报价应符合国内行情并能保证投标人完成履行合同所需的一切工作。合同一旦签订，此合同价格在合同实施期间将不因市场设备材料价格的变化而调整。</w:t>
      </w:r>
    </w:p>
    <w:p w14:paraId="54391703">
      <w:pPr>
        <w:pStyle w:val="4"/>
        <w:spacing w:before="0"/>
        <w:ind w:left="420" w:hanging="420"/>
        <w:rPr>
          <w:rFonts w:hint="eastAsia" w:ascii="宋体" w:hAnsi="宋体" w:eastAsia="宋体" w:cs="宋体"/>
          <w:color w:val="auto"/>
          <w:sz w:val="24"/>
          <w:szCs w:val="24"/>
          <w:highlight w:val="none"/>
        </w:rPr>
      </w:pPr>
      <w:bookmarkStart w:id="89" w:name="_Toc3488"/>
      <w:bookmarkStart w:id="90" w:name="_Toc27053"/>
      <w:r>
        <w:rPr>
          <w:rFonts w:hint="eastAsia" w:ascii="宋体" w:hAnsi="宋体" w:eastAsia="宋体" w:cs="宋体"/>
          <w:color w:val="auto"/>
          <w:sz w:val="24"/>
          <w:szCs w:val="24"/>
          <w:highlight w:val="none"/>
        </w:rPr>
        <w:t>13.投标货币</w:t>
      </w:r>
      <w:bookmarkEnd w:id="89"/>
      <w:bookmarkEnd w:id="90"/>
    </w:p>
    <w:p w14:paraId="2D34A562">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color w:val="auto"/>
          <w:sz w:val="24"/>
          <w:highlight w:val="none"/>
        </w:rPr>
        <w:t>投标应以人民币报价。</w:t>
      </w:r>
    </w:p>
    <w:p w14:paraId="57B96B87">
      <w:pPr>
        <w:pStyle w:val="4"/>
        <w:spacing w:before="0"/>
        <w:ind w:left="420" w:hanging="420"/>
        <w:rPr>
          <w:rFonts w:hint="eastAsia" w:ascii="宋体" w:hAnsi="宋体" w:eastAsia="宋体" w:cs="宋体"/>
          <w:color w:val="auto"/>
          <w:sz w:val="24"/>
          <w:szCs w:val="24"/>
          <w:highlight w:val="none"/>
        </w:rPr>
      </w:pPr>
      <w:bookmarkStart w:id="91" w:name="_Toc12115"/>
      <w:bookmarkStart w:id="92" w:name="_Toc29421"/>
      <w:r>
        <w:rPr>
          <w:rFonts w:hint="eastAsia" w:ascii="宋体" w:hAnsi="宋体" w:eastAsia="宋体" w:cs="宋体"/>
          <w:color w:val="auto"/>
          <w:sz w:val="24"/>
          <w:szCs w:val="24"/>
          <w:highlight w:val="none"/>
        </w:rPr>
        <w:t>14.投标有效期</w:t>
      </w:r>
      <w:bookmarkEnd w:id="91"/>
      <w:bookmarkEnd w:id="92"/>
    </w:p>
    <w:p w14:paraId="7F5F0C74">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14.1 在“</w:t>
      </w:r>
      <w:r>
        <w:rPr>
          <w:rFonts w:hint="eastAsia" w:ascii="宋体" w:hAnsi="宋体" w:eastAsia="宋体" w:cs="宋体"/>
          <w:b/>
          <w:bCs/>
          <w:color w:val="auto"/>
          <w:sz w:val="24"/>
          <w:highlight w:val="none"/>
        </w:rPr>
        <w:t>投标人须知前附表</w:t>
      </w:r>
      <w:r>
        <w:rPr>
          <w:rFonts w:hint="eastAsia" w:ascii="宋体" w:hAnsi="宋体" w:eastAsia="宋体" w:cs="宋体"/>
          <w:color w:val="auto"/>
          <w:sz w:val="24"/>
          <w:highlight w:val="none"/>
        </w:rPr>
        <w:t>”规定的投标有效期内，投标人不得要求撤销或修改其投标文件。</w:t>
      </w:r>
    </w:p>
    <w:p w14:paraId="7C6DCC5A">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14.2 因特殊情况需要延长投标有效期的，采购人以书面形式通知所有投标人延长投标有效期。投标人同意延长的，应相应延长其投标保证金的有效期，但不得要求或被允许修改或撤销其投标文件；投标人拒绝延长的，其投标失效，但投标人有权收回其投标保证金。</w:t>
      </w:r>
    </w:p>
    <w:p w14:paraId="1B458F9C">
      <w:pPr>
        <w:pStyle w:val="4"/>
        <w:spacing w:before="0"/>
        <w:ind w:left="420" w:hanging="420"/>
        <w:rPr>
          <w:rFonts w:hint="eastAsia" w:ascii="宋体" w:hAnsi="宋体" w:eastAsia="宋体" w:cs="宋体"/>
          <w:color w:val="auto"/>
          <w:sz w:val="24"/>
          <w:szCs w:val="24"/>
          <w:highlight w:val="none"/>
        </w:rPr>
      </w:pPr>
      <w:bookmarkStart w:id="93" w:name="_Toc29621"/>
      <w:bookmarkStart w:id="94" w:name="_Toc1140"/>
      <w:r>
        <w:rPr>
          <w:rFonts w:hint="eastAsia" w:ascii="宋体" w:hAnsi="宋体" w:eastAsia="宋体" w:cs="宋体"/>
          <w:color w:val="auto"/>
          <w:sz w:val="24"/>
          <w:szCs w:val="24"/>
          <w:highlight w:val="none"/>
        </w:rPr>
        <w:t>15.投标文件的书写要求</w:t>
      </w:r>
      <w:bookmarkEnd w:id="93"/>
      <w:bookmarkEnd w:id="94"/>
    </w:p>
    <w:p w14:paraId="56A31156">
      <w:pPr>
        <w:spacing w:line="360" w:lineRule="auto"/>
        <w:ind w:firstLine="410" w:firstLineChars="171"/>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15.1投标人应按第</w:t>
      </w:r>
      <w:r>
        <w:rPr>
          <w:rFonts w:hint="eastAsia" w:ascii="宋体" w:hAnsi="宋体" w:eastAsia="宋体" w:cs="宋体"/>
          <w:color w:val="auto"/>
          <w:sz w:val="24"/>
          <w:highlight w:val="none"/>
          <w:lang w:val="en-US" w:eastAsia="zh-CN"/>
        </w:rPr>
        <w:t>七</w:t>
      </w:r>
      <w:r>
        <w:rPr>
          <w:rFonts w:hint="eastAsia" w:ascii="宋体" w:hAnsi="宋体" w:eastAsia="宋体" w:cs="宋体"/>
          <w:color w:val="auto"/>
          <w:sz w:val="24"/>
          <w:highlight w:val="none"/>
        </w:rPr>
        <w:t>章“投标文件格式”提供的格式进行编制。</w:t>
      </w:r>
    </w:p>
    <w:p w14:paraId="48DCFCE3">
      <w:pPr>
        <w:pStyle w:val="4"/>
        <w:spacing w:before="0"/>
        <w:ind w:left="420" w:hanging="420"/>
        <w:rPr>
          <w:rFonts w:hint="eastAsia" w:ascii="宋体" w:hAnsi="宋体" w:eastAsia="宋体" w:cs="宋体"/>
          <w:color w:val="auto"/>
          <w:sz w:val="24"/>
          <w:szCs w:val="24"/>
          <w:highlight w:val="none"/>
        </w:rPr>
      </w:pPr>
      <w:bookmarkStart w:id="95" w:name="_Toc20631"/>
      <w:bookmarkStart w:id="96" w:name="_Toc20660"/>
      <w:r>
        <w:rPr>
          <w:rFonts w:hint="eastAsia" w:ascii="宋体" w:hAnsi="宋体" w:eastAsia="宋体" w:cs="宋体"/>
          <w:color w:val="auto"/>
          <w:sz w:val="24"/>
          <w:szCs w:val="24"/>
          <w:highlight w:val="none"/>
        </w:rPr>
        <w:t>16.投标保证金</w:t>
      </w:r>
      <w:bookmarkEnd w:id="95"/>
      <w:bookmarkEnd w:id="96"/>
    </w:p>
    <w:p w14:paraId="60DE78D7">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16.1保证金为人民币。投标人应在递交投标文件截止时间以前按“投标人须知前附表”规定的方式及金额缴纳，并在投标有效期内保持有效。</w:t>
      </w:r>
    </w:p>
    <w:p w14:paraId="51CEAAEB">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16.2投标人不按投标须知前附表要求提交投标保证金的，其投标文件作废标处理。</w:t>
      </w:r>
    </w:p>
    <w:p w14:paraId="007FD8E9">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16.3有下列情形之一的，投标保证金不予退还：</w:t>
      </w:r>
    </w:p>
    <w:p w14:paraId="43B10676">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（1）投标人在提交投标文件截止时间后撤回投标文件的；</w:t>
      </w:r>
    </w:p>
    <w:p w14:paraId="7951AFF6">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（2）除因不可抗力或招标文件认可的情形以外，中标人不与采购人签订合同的；</w:t>
      </w:r>
    </w:p>
    <w:p w14:paraId="4DD86687">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（3）法律法规规定的其他情形。</w:t>
      </w:r>
    </w:p>
    <w:p w14:paraId="01E2341F">
      <w:pPr>
        <w:pStyle w:val="53"/>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16.4投标保证金退还方式：详见投标人须知前附表。</w:t>
      </w:r>
    </w:p>
    <w:p w14:paraId="5DF62C07">
      <w:pPr>
        <w:pStyle w:val="3"/>
        <w:spacing w:before="0"/>
        <w:jc w:val="center"/>
        <w:rPr>
          <w:rFonts w:hint="eastAsia" w:ascii="宋体" w:hAnsi="宋体" w:eastAsia="宋体" w:cs="宋体"/>
          <w:color w:val="auto"/>
          <w:szCs w:val="28"/>
          <w:highlight w:val="none"/>
        </w:rPr>
      </w:pPr>
      <w:bookmarkStart w:id="97" w:name="_Toc32608"/>
      <w:bookmarkStart w:id="98" w:name="_Toc21908"/>
      <w:bookmarkStart w:id="99" w:name="_Toc5769"/>
      <w:bookmarkStart w:id="100" w:name="_Toc15588"/>
      <w:r>
        <w:rPr>
          <w:rFonts w:hint="eastAsia" w:ascii="宋体" w:hAnsi="宋体" w:eastAsia="宋体" w:cs="宋体"/>
          <w:color w:val="auto"/>
          <w:szCs w:val="28"/>
          <w:highlight w:val="none"/>
        </w:rPr>
        <w:t>四、投标文件的提交</w:t>
      </w:r>
      <w:bookmarkEnd w:id="97"/>
      <w:bookmarkEnd w:id="98"/>
      <w:bookmarkEnd w:id="99"/>
      <w:bookmarkEnd w:id="100"/>
    </w:p>
    <w:p w14:paraId="4803ED2D">
      <w:pPr>
        <w:pStyle w:val="4"/>
        <w:spacing w:before="0"/>
        <w:ind w:left="420" w:hanging="420"/>
        <w:rPr>
          <w:rFonts w:hint="eastAsia" w:ascii="宋体" w:hAnsi="宋体" w:eastAsia="宋体" w:cs="宋体"/>
          <w:color w:val="auto"/>
          <w:sz w:val="24"/>
          <w:szCs w:val="24"/>
          <w:highlight w:val="none"/>
        </w:rPr>
      </w:pPr>
      <w:bookmarkStart w:id="101" w:name="_Toc15043"/>
      <w:bookmarkStart w:id="102" w:name="_Toc19263"/>
      <w:r>
        <w:rPr>
          <w:rFonts w:hint="eastAsia" w:ascii="宋体" w:hAnsi="宋体" w:eastAsia="宋体" w:cs="宋体"/>
          <w:color w:val="auto"/>
          <w:sz w:val="24"/>
          <w:szCs w:val="24"/>
          <w:highlight w:val="none"/>
        </w:rPr>
        <w:t>17.投标文件的密封与标记</w:t>
      </w:r>
      <w:bookmarkEnd w:id="101"/>
      <w:bookmarkEnd w:id="102"/>
    </w:p>
    <w:p w14:paraId="59AE9FA7">
      <w:pPr>
        <w:spacing w:line="360" w:lineRule="auto"/>
        <w:ind w:firstLine="480" w:firstLineChars="200"/>
        <w:jc w:val="left"/>
        <w:rPr>
          <w:rFonts w:hint="eastAsia" w:ascii="宋体" w:hAnsi="宋体" w:eastAsia="宋体" w:cs="宋体"/>
          <w:b/>
          <w:bCs/>
          <w:color w:val="auto"/>
          <w:sz w:val="24"/>
          <w:highlight w:val="none"/>
          <w:u w:val="single"/>
        </w:rPr>
      </w:pPr>
      <w:r>
        <w:rPr>
          <w:rFonts w:hint="eastAsia" w:ascii="宋体" w:hAnsi="宋体" w:eastAsia="宋体" w:cs="宋体"/>
          <w:color w:val="auto"/>
          <w:sz w:val="24"/>
          <w:highlight w:val="none"/>
        </w:rPr>
        <w:t>17.1 投标人应按“</w:t>
      </w:r>
      <w:r>
        <w:rPr>
          <w:rFonts w:hint="eastAsia" w:ascii="宋体" w:hAnsi="宋体" w:eastAsia="宋体" w:cs="宋体"/>
          <w:b/>
          <w:bCs/>
          <w:color w:val="auto"/>
          <w:sz w:val="24"/>
          <w:highlight w:val="none"/>
        </w:rPr>
        <w:t>投标人须知前附表</w:t>
      </w:r>
      <w:r>
        <w:rPr>
          <w:rFonts w:hint="eastAsia" w:ascii="宋体" w:hAnsi="宋体" w:eastAsia="宋体" w:cs="宋体"/>
          <w:color w:val="auto"/>
          <w:sz w:val="24"/>
          <w:highlight w:val="none"/>
        </w:rPr>
        <w:t>”中规定加密上传递交。</w:t>
      </w:r>
    </w:p>
    <w:p w14:paraId="1B2FAE60">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17.2 投标人未按要求加密、上传的，不予接收。</w:t>
      </w:r>
    </w:p>
    <w:p w14:paraId="0F415126">
      <w:pPr>
        <w:pStyle w:val="4"/>
        <w:spacing w:before="0"/>
        <w:ind w:left="420" w:hanging="420"/>
        <w:rPr>
          <w:rFonts w:hint="eastAsia" w:ascii="宋体" w:hAnsi="宋体" w:eastAsia="宋体" w:cs="宋体"/>
          <w:color w:val="auto"/>
          <w:sz w:val="24"/>
          <w:szCs w:val="24"/>
          <w:highlight w:val="none"/>
        </w:rPr>
      </w:pPr>
      <w:bookmarkStart w:id="103" w:name="_Toc31570"/>
      <w:bookmarkStart w:id="104" w:name="_Toc21021"/>
      <w:r>
        <w:rPr>
          <w:rFonts w:hint="eastAsia" w:ascii="宋体" w:hAnsi="宋体" w:eastAsia="宋体" w:cs="宋体"/>
          <w:color w:val="auto"/>
          <w:sz w:val="24"/>
          <w:szCs w:val="24"/>
          <w:highlight w:val="none"/>
        </w:rPr>
        <w:t>18.提交投标文件的截止时间和地点</w:t>
      </w:r>
      <w:bookmarkEnd w:id="103"/>
      <w:bookmarkEnd w:id="104"/>
    </w:p>
    <w:p w14:paraId="57D2E217">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18.1投标人应在投标人须知前附表规定的投标截止时间前递交投标文件。</w:t>
      </w:r>
    </w:p>
    <w:p w14:paraId="50386A8A">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18.2投标人提交投标文件的时间和地点：见投标人须知前附表。</w:t>
      </w:r>
    </w:p>
    <w:p w14:paraId="1F5C1656">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18.3除投标人须知前附表另有规定外，投标人所递交的投标文件不予退还。</w:t>
      </w:r>
    </w:p>
    <w:p w14:paraId="2AD1B1CB">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18.4逾期送达的、未送达指定地点的或者不按照招标文件要求加密上传的投标文件，视为撤回投标文件，采购人不予受理。</w:t>
      </w:r>
    </w:p>
    <w:p w14:paraId="499E7656">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18.5是否退还投标文件：按须知前附表。</w:t>
      </w:r>
    </w:p>
    <w:p w14:paraId="5F2EA6EB">
      <w:pPr>
        <w:pStyle w:val="4"/>
        <w:spacing w:before="0"/>
        <w:ind w:left="420" w:hanging="420"/>
        <w:rPr>
          <w:rFonts w:hint="eastAsia" w:ascii="宋体" w:hAnsi="宋体" w:eastAsia="宋体" w:cs="宋体"/>
          <w:color w:val="auto"/>
          <w:sz w:val="24"/>
          <w:szCs w:val="24"/>
          <w:highlight w:val="none"/>
        </w:rPr>
      </w:pPr>
      <w:bookmarkStart w:id="105" w:name="_Toc26532"/>
      <w:bookmarkStart w:id="106" w:name="_Toc55305425"/>
      <w:bookmarkStart w:id="107" w:name="_Toc17324"/>
      <w:r>
        <w:rPr>
          <w:rFonts w:hint="eastAsia" w:ascii="宋体" w:hAnsi="宋体" w:eastAsia="宋体" w:cs="宋体"/>
          <w:color w:val="auto"/>
          <w:sz w:val="24"/>
          <w:szCs w:val="24"/>
          <w:highlight w:val="none"/>
        </w:rPr>
        <w:t>19.投标文件的修改与撤回</w:t>
      </w:r>
      <w:bookmarkEnd w:id="105"/>
      <w:bookmarkEnd w:id="106"/>
      <w:bookmarkEnd w:id="107"/>
    </w:p>
    <w:p w14:paraId="1BC671DF">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19.1在投标截止时间前，投标人可以修改或撤回已在网上递交的投标文件，无须书面形式通知采购人。</w:t>
      </w:r>
    </w:p>
    <w:p w14:paraId="270B2C17">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19.2修改的投标文件应按照政采云平台规定进行编制和递交。</w:t>
      </w:r>
    </w:p>
    <w:p w14:paraId="72A72B0B">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19.3根据本须知规定，在投标截止时间至投标有效期内，投标人不得撤回其投标，否则其投标保证金将被没收。</w:t>
      </w:r>
    </w:p>
    <w:p w14:paraId="122B4A26">
      <w:pPr>
        <w:pStyle w:val="3"/>
        <w:spacing w:before="0"/>
        <w:jc w:val="center"/>
        <w:rPr>
          <w:rFonts w:hint="eastAsia" w:ascii="宋体" w:hAnsi="宋体" w:eastAsia="宋体" w:cs="宋体"/>
          <w:color w:val="auto"/>
          <w:szCs w:val="28"/>
          <w:highlight w:val="none"/>
        </w:rPr>
      </w:pPr>
      <w:bookmarkStart w:id="108" w:name="_Toc7679"/>
      <w:bookmarkStart w:id="109" w:name="_Toc10265"/>
      <w:bookmarkStart w:id="110" w:name="_Toc10458"/>
      <w:bookmarkStart w:id="111" w:name="_Toc26170"/>
      <w:r>
        <w:rPr>
          <w:rFonts w:hint="eastAsia" w:ascii="宋体" w:hAnsi="宋体" w:eastAsia="宋体" w:cs="宋体"/>
          <w:color w:val="auto"/>
          <w:szCs w:val="28"/>
          <w:highlight w:val="none"/>
        </w:rPr>
        <w:t>五、开标与评标</w:t>
      </w:r>
      <w:bookmarkEnd w:id="108"/>
      <w:bookmarkEnd w:id="109"/>
      <w:bookmarkEnd w:id="110"/>
      <w:bookmarkEnd w:id="111"/>
    </w:p>
    <w:p w14:paraId="21C83EBE">
      <w:pPr>
        <w:pStyle w:val="4"/>
        <w:spacing w:before="0"/>
        <w:ind w:left="420" w:hanging="420"/>
        <w:rPr>
          <w:rFonts w:hint="eastAsia" w:ascii="宋体" w:hAnsi="宋体" w:eastAsia="宋体" w:cs="宋体"/>
          <w:color w:val="auto"/>
          <w:sz w:val="24"/>
          <w:szCs w:val="24"/>
          <w:highlight w:val="none"/>
        </w:rPr>
      </w:pPr>
      <w:bookmarkStart w:id="112" w:name="_Toc10409"/>
      <w:bookmarkStart w:id="113" w:name="_Toc8012"/>
      <w:r>
        <w:rPr>
          <w:rFonts w:hint="eastAsia" w:ascii="宋体" w:hAnsi="宋体" w:eastAsia="宋体" w:cs="宋体"/>
          <w:color w:val="auto"/>
          <w:sz w:val="24"/>
          <w:szCs w:val="24"/>
          <w:highlight w:val="none"/>
        </w:rPr>
        <w:t>20.开标</w:t>
      </w:r>
      <w:bookmarkEnd w:id="112"/>
      <w:bookmarkEnd w:id="113"/>
    </w:p>
    <w:p w14:paraId="1A1BB593">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20.1采购人在本章规定的投标截止时间（开标时间）和地点进行公开开标。</w:t>
      </w:r>
    </w:p>
    <w:p w14:paraId="341184DF">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主持人按下列程序进行开标：</w:t>
      </w:r>
    </w:p>
    <w:p w14:paraId="1F2328E5">
      <w:pPr>
        <w:spacing w:line="360" w:lineRule="auto"/>
        <w:ind w:firstLine="480" w:firstLineChars="200"/>
        <w:rPr>
          <w:rFonts w:hint="eastAsia" w:ascii="宋体" w:hAnsi="宋体" w:eastAsia="宋体" w:cs="宋体"/>
          <w:color w:val="auto"/>
          <w:sz w:val="24"/>
          <w:highlight w:val="none"/>
        </w:rPr>
      </w:pPr>
      <w:bookmarkStart w:id="114" w:name="_Toc55305428"/>
      <w:bookmarkStart w:id="115" w:name="_Toc19138"/>
      <w:r>
        <w:rPr>
          <w:rFonts w:hint="eastAsia" w:ascii="宋体" w:hAnsi="宋体" w:eastAsia="宋体" w:cs="宋体"/>
          <w:color w:val="auto"/>
          <w:sz w:val="24"/>
          <w:highlight w:val="none"/>
        </w:rPr>
        <w:t>(1)开标会由采购代理机构主持；</w:t>
      </w:r>
    </w:p>
    <w:p w14:paraId="22E4906A">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(2)开标：顺序按照政采云平台自动提取所有投标人的顺序当众开标。主持人宣布开启电子投标文件后，下达解密指令，投标人按照上述开标顺序，使用编制投标文件时的加密数字证书对投标文件进行解密；</w:t>
      </w:r>
    </w:p>
    <w:p w14:paraId="35850754">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(3)唱标：由唱标人宣读投标人在其电子投标文件中、投标价格和招标文件规定的需要宣布的其他内容。</w:t>
      </w:r>
    </w:p>
    <w:p w14:paraId="4B76ECAB">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(4)开标会议结束。</w:t>
      </w:r>
    </w:p>
    <w:p w14:paraId="2C623D14">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20.2投标人代表对开标过程和开标记录有异议，以及认为采购人、采购代理机构相关工作人员有需要回避的情形的，应在线提出询问或者回避申请。采购人、采购代理机构对投标人代表提出的询问或者回避申请应当及时处理并记录在案。</w:t>
      </w:r>
    </w:p>
    <w:p w14:paraId="4FCE03C1">
      <w:pPr>
        <w:pStyle w:val="4"/>
        <w:spacing w:before="0"/>
        <w:ind w:left="420" w:hanging="420"/>
        <w:rPr>
          <w:rFonts w:hint="eastAsia" w:ascii="宋体" w:hAnsi="宋体" w:eastAsia="宋体" w:cs="宋体"/>
          <w:color w:val="auto"/>
          <w:sz w:val="24"/>
          <w:szCs w:val="24"/>
          <w:highlight w:val="none"/>
        </w:rPr>
      </w:pPr>
      <w:bookmarkStart w:id="116" w:name="_Toc3944"/>
      <w:r>
        <w:rPr>
          <w:rFonts w:hint="eastAsia" w:ascii="宋体" w:hAnsi="宋体" w:eastAsia="宋体" w:cs="宋体"/>
          <w:color w:val="auto"/>
          <w:sz w:val="24"/>
          <w:szCs w:val="24"/>
          <w:highlight w:val="none"/>
        </w:rPr>
        <w:t>21.资格审查</w:t>
      </w:r>
      <w:bookmarkEnd w:id="114"/>
      <w:bookmarkEnd w:id="115"/>
      <w:bookmarkEnd w:id="116"/>
    </w:p>
    <w:p w14:paraId="2D72D4A3">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公开招标采购项目开标结束后，采购人或者采购代理机构应当依法对投标人的资格进行审查。合格的投标人不足3家，不得评标。</w:t>
      </w:r>
    </w:p>
    <w:p w14:paraId="29543CAB">
      <w:pPr>
        <w:pStyle w:val="4"/>
        <w:spacing w:before="0"/>
        <w:ind w:left="420" w:hanging="420"/>
        <w:rPr>
          <w:rFonts w:hint="eastAsia" w:ascii="宋体" w:hAnsi="宋体" w:eastAsia="宋体" w:cs="宋体"/>
          <w:color w:val="auto"/>
          <w:sz w:val="24"/>
          <w:szCs w:val="24"/>
          <w:highlight w:val="none"/>
        </w:rPr>
      </w:pPr>
      <w:bookmarkStart w:id="117" w:name="_Toc12603"/>
      <w:bookmarkStart w:id="118" w:name="_Toc32685"/>
      <w:r>
        <w:rPr>
          <w:rFonts w:hint="eastAsia" w:ascii="宋体" w:hAnsi="宋体" w:eastAsia="宋体" w:cs="宋体"/>
          <w:color w:val="auto"/>
          <w:sz w:val="24"/>
          <w:szCs w:val="24"/>
          <w:highlight w:val="none"/>
        </w:rPr>
        <w:t>22.评标</w:t>
      </w:r>
      <w:bookmarkEnd w:id="117"/>
      <w:bookmarkEnd w:id="118"/>
    </w:p>
    <w:p w14:paraId="1FA84297">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22.1评标由采购人依法组建的评标委员会负责。评标委员会由采购人代表和有关技术、经济等方面的专家组成，成员人数应当为5人或以上单数。其中，技术、经济等方面的专家不得少于成员总数的三分之二。评标委员会应当推选组长，但采购人代表不得担任组长。</w:t>
      </w:r>
    </w:p>
    <w:p w14:paraId="150F65DD">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采购人委派代表参加评标委员会的，要向采购代理机构出具授权函。</w:t>
      </w:r>
    </w:p>
    <w:p w14:paraId="0AC37BF2">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22.2评标原则</w:t>
      </w:r>
    </w:p>
    <w:p w14:paraId="0876B049">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评标活动遵循公平、公正、科学和择优的原则。</w:t>
      </w:r>
    </w:p>
    <w:p w14:paraId="4C558AEE">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22.3评标</w:t>
      </w:r>
    </w:p>
    <w:p w14:paraId="08BF9EF6">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本项目按“投标人须知前附表”规定的评标办法进行评标，评标委员会按照第七章“评标办法”规定的方法、评审因素、标准和程序对投标文件进行评审。第七章“评标办法”没有规定的方法、评审因素和标准，不作为评标依据。</w:t>
      </w:r>
    </w:p>
    <w:p w14:paraId="3A41F652">
      <w:pPr>
        <w:widowControl/>
        <w:spacing w:line="336"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22.4</w:t>
      </w:r>
      <w:r>
        <w:rPr>
          <w:rFonts w:hint="eastAsia" w:ascii="宋体" w:hAnsi="宋体" w:eastAsia="宋体" w:cs="宋体"/>
          <w:color w:val="auto"/>
          <w:sz w:val="24"/>
          <w:highlight w:val="none"/>
          <w:lang w:val="zh-CN"/>
        </w:rPr>
        <w:t>对投标人的纪律要求：投标人不得相互串通投标或者与招标人串通投标，不得向招标人或者评标委员会成员行贿谋取中标，不得以他人名义投标或者以其他方式弄虚作假骗取中标；投标人不得以任何方式干扰、影响评标工作；</w:t>
      </w:r>
    </w:p>
    <w:p w14:paraId="0F936F0D">
      <w:pPr>
        <w:widowControl/>
        <w:spacing w:line="336"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下列情形之一的，视为投标人串通投标，其投标无效：</w:t>
      </w:r>
    </w:p>
    <w:p w14:paraId="2617EF3C">
      <w:pPr>
        <w:widowControl/>
        <w:spacing w:line="336"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不同的投标文件在同一台电脑</w:t>
      </w:r>
      <w:r>
        <w:rPr>
          <w:rFonts w:hint="eastAsia" w:ascii="宋体" w:hAnsi="宋体" w:eastAsia="宋体" w:cs="宋体"/>
          <w:color w:val="auto"/>
          <w:sz w:val="24"/>
          <w:highlight w:val="none"/>
        </w:rPr>
        <w:t>或IP地址</w:t>
      </w:r>
      <w:r>
        <w:rPr>
          <w:rFonts w:hint="eastAsia" w:ascii="宋体" w:hAnsi="宋体" w:eastAsia="宋体" w:cs="宋体"/>
          <w:color w:val="auto"/>
          <w:sz w:val="24"/>
          <w:highlight w:val="none"/>
          <w:lang w:val="zh-CN"/>
        </w:rPr>
        <w:t>编制，视为串通投标；</w:t>
      </w:r>
    </w:p>
    <w:p w14:paraId="7F419C65">
      <w:pPr>
        <w:widowControl/>
        <w:spacing w:line="336"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zh-CN"/>
        </w:rPr>
        <w:t>）不同投标人的投标文件由同一单位或者个人编制；</w:t>
      </w:r>
    </w:p>
    <w:p w14:paraId="1319D976">
      <w:pPr>
        <w:widowControl/>
        <w:spacing w:line="336"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3</w:t>
      </w:r>
      <w:r>
        <w:rPr>
          <w:rFonts w:hint="eastAsia" w:ascii="宋体" w:hAnsi="宋体" w:eastAsia="宋体" w:cs="宋体"/>
          <w:color w:val="auto"/>
          <w:sz w:val="24"/>
          <w:highlight w:val="none"/>
          <w:lang w:val="zh-CN"/>
        </w:rPr>
        <w:t>）不同投标人委托同一单位或者个人办理投标事宜；</w:t>
      </w:r>
    </w:p>
    <w:p w14:paraId="61B846A0">
      <w:pPr>
        <w:widowControl/>
        <w:spacing w:line="336"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4</w:t>
      </w:r>
      <w:r>
        <w:rPr>
          <w:rFonts w:hint="eastAsia" w:ascii="宋体" w:hAnsi="宋体" w:eastAsia="宋体" w:cs="宋体"/>
          <w:color w:val="auto"/>
          <w:sz w:val="24"/>
          <w:highlight w:val="none"/>
          <w:lang w:val="zh-CN"/>
        </w:rPr>
        <w:t>）不同投标人的投标文件载明的项目管理成员或者联系人员为同一人；</w:t>
      </w:r>
    </w:p>
    <w:p w14:paraId="757A6241">
      <w:pPr>
        <w:spacing w:line="360" w:lineRule="auto"/>
        <w:ind w:firstLine="480" w:firstLineChars="200"/>
        <w:jc w:val="left"/>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5</w:t>
      </w:r>
      <w:r>
        <w:rPr>
          <w:rFonts w:hint="eastAsia" w:ascii="宋体" w:hAnsi="宋体" w:eastAsia="宋体" w:cs="宋体"/>
          <w:color w:val="auto"/>
          <w:sz w:val="24"/>
          <w:highlight w:val="none"/>
          <w:lang w:val="zh-CN"/>
        </w:rPr>
        <w:t>）不同投标人的投标文件异常一致或者投标报价呈规律性差异；</w:t>
      </w:r>
    </w:p>
    <w:p w14:paraId="73185AA9">
      <w:pPr>
        <w:spacing w:line="360" w:lineRule="auto"/>
        <w:ind w:firstLine="480" w:firstLineChars="200"/>
        <w:jc w:val="left"/>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6</w:t>
      </w:r>
      <w:r>
        <w:rPr>
          <w:rFonts w:hint="eastAsia" w:ascii="宋体" w:hAnsi="宋体" w:eastAsia="宋体" w:cs="宋体"/>
          <w:color w:val="auto"/>
          <w:sz w:val="24"/>
          <w:highlight w:val="none"/>
          <w:lang w:val="zh-CN"/>
        </w:rPr>
        <w:t>）不同投标人的投标文件相互混装；</w:t>
      </w:r>
    </w:p>
    <w:p w14:paraId="085AF9C3">
      <w:pPr>
        <w:spacing w:line="360" w:lineRule="auto"/>
        <w:ind w:firstLine="480" w:firstLineChars="200"/>
        <w:jc w:val="left"/>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7</w:t>
      </w:r>
      <w:r>
        <w:rPr>
          <w:rFonts w:hint="eastAsia" w:ascii="宋体" w:hAnsi="宋体" w:eastAsia="宋体" w:cs="宋体"/>
          <w:color w:val="auto"/>
          <w:sz w:val="24"/>
          <w:highlight w:val="none"/>
          <w:lang w:val="zh-CN"/>
        </w:rPr>
        <w:t>）不同投标人的投标保证金从同一单位或者个人的账户转出；</w:t>
      </w:r>
    </w:p>
    <w:p w14:paraId="252C64C4">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8</w:t>
      </w: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其它法律法规适用的串通投标情形。</w:t>
      </w:r>
    </w:p>
    <w:p w14:paraId="33226C26">
      <w:pPr>
        <w:spacing w:line="360" w:lineRule="auto"/>
        <w:ind w:firstLine="480" w:firstLineChars="200"/>
        <w:jc w:val="left"/>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根据《中华人民共和国刑法》第二百二十三条【串通投标罪】规定，投标人相互串通投标报价，损害招标人或者其他投标人利益，情节严重的，处三年以下有期徒刑或者拘役，并处或者单处罚金。投标人与招标人串通投标，损害国家、集体、公民的合法利益的，依照前款的规定处罚。</w:t>
      </w:r>
    </w:p>
    <w:p w14:paraId="4A9BC971">
      <w:pPr>
        <w:widowControl/>
        <w:spacing w:line="336"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22.5</w:t>
      </w:r>
      <w:r>
        <w:rPr>
          <w:rFonts w:hint="eastAsia" w:ascii="宋体" w:hAnsi="宋体" w:eastAsia="宋体" w:cs="宋体"/>
          <w:color w:val="auto"/>
          <w:sz w:val="24"/>
          <w:highlight w:val="none"/>
          <w:lang w:val="zh-CN"/>
        </w:rPr>
        <w:t>投标人的行为涉及触犯【串通投标罪】相关规定的，将移送司法机关处理。</w:t>
      </w:r>
    </w:p>
    <w:p w14:paraId="558BD382">
      <w:pPr>
        <w:widowControl/>
        <w:spacing w:line="336"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22.6</w:t>
      </w:r>
      <w:r>
        <w:rPr>
          <w:rFonts w:hint="eastAsia" w:ascii="宋体" w:hAnsi="宋体" w:eastAsia="宋体" w:cs="宋体"/>
          <w:color w:val="auto"/>
          <w:sz w:val="24"/>
          <w:highlight w:val="none"/>
          <w:lang w:val="zh-CN"/>
        </w:rPr>
        <w:t>评标过程的保密</w:t>
      </w:r>
    </w:p>
    <w:p w14:paraId="703E0BCC">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开标后，直到授予投标人合同止，凡是属于审查、澄清、评审和比较的有关资料以及授标建议等均不得向投标人或其他无关的人员透露。投标人在评标过程中，所进行的力图影响评标结果的不公正活动，可能导致其投标被拒绝。</w:t>
      </w:r>
    </w:p>
    <w:p w14:paraId="17578EB1">
      <w:pPr>
        <w:pStyle w:val="3"/>
        <w:spacing w:before="0"/>
        <w:jc w:val="center"/>
        <w:rPr>
          <w:rFonts w:hint="eastAsia" w:ascii="宋体" w:hAnsi="宋体" w:eastAsia="宋体" w:cs="宋体"/>
          <w:color w:val="auto"/>
          <w:szCs w:val="28"/>
          <w:highlight w:val="none"/>
        </w:rPr>
      </w:pPr>
      <w:bookmarkStart w:id="119" w:name="_Toc26491"/>
      <w:bookmarkStart w:id="120" w:name="_Toc31808"/>
      <w:bookmarkStart w:id="121" w:name="_Toc5879"/>
      <w:bookmarkStart w:id="122" w:name="_Toc23420"/>
      <w:r>
        <w:rPr>
          <w:rFonts w:hint="eastAsia" w:ascii="宋体" w:hAnsi="宋体" w:eastAsia="宋体" w:cs="宋体"/>
          <w:color w:val="auto"/>
          <w:szCs w:val="28"/>
          <w:highlight w:val="none"/>
        </w:rPr>
        <w:t>六、中标结果</w:t>
      </w:r>
      <w:bookmarkEnd w:id="119"/>
      <w:bookmarkEnd w:id="120"/>
      <w:bookmarkEnd w:id="121"/>
      <w:bookmarkEnd w:id="122"/>
    </w:p>
    <w:p w14:paraId="1509E044">
      <w:pPr>
        <w:pStyle w:val="4"/>
        <w:spacing w:before="0"/>
        <w:ind w:left="420" w:hanging="420"/>
        <w:rPr>
          <w:rFonts w:hint="eastAsia" w:ascii="宋体" w:hAnsi="宋体" w:eastAsia="宋体" w:cs="宋体"/>
          <w:color w:val="auto"/>
          <w:sz w:val="24"/>
          <w:szCs w:val="24"/>
          <w:highlight w:val="none"/>
        </w:rPr>
      </w:pPr>
      <w:bookmarkStart w:id="123" w:name="_Toc7167"/>
      <w:bookmarkStart w:id="124" w:name="_Toc12497"/>
      <w:r>
        <w:rPr>
          <w:rFonts w:hint="eastAsia" w:ascii="宋体" w:hAnsi="宋体" w:eastAsia="宋体" w:cs="宋体"/>
          <w:color w:val="auto"/>
          <w:sz w:val="24"/>
          <w:szCs w:val="24"/>
          <w:highlight w:val="none"/>
        </w:rPr>
        <w:t>23.中标人的确定</w:t>
      </w:r>
      <w:bookmarkEnd w:id="123"/>
      <w:bookmarkEnd w:id="124"/>
    </w:p>
    <w:p w14:paraId="36ED3A84">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23.1采购代理机构在评标结束后2个工作日内将评标报告送采购人。</w:t>
      </w:r>
    </w:p>
    <w:p w14:paraId="45EA9B11">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23.2采购人自收到评标报告之日起5个工作日内，在评标报告确定的中标候选人名单中按顺序确定中标人。中标候选人并列的，由采购人或者采购人委托评标委员会按照招标文件规定的方式确定中标人；招标文件未规定的，采取随机抽取的方式确定。</w:t>
      </w:r>
    </w:p>
    <w:p w14:paraId="544BAF18">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23.3采购人在收到评标报告5个工作日内未按评标报告推荐的中标候选人顺序确定中标人，又不能说明合法理由的，视同按评标报告推荐的顺序确定排名第一的中标候选人为中标人。</w:t>
      </w:r>
    </w:p>
    <w:p w14:paraId="76891657">
      <w:pPr>
        <w:pStyle w:val="4"/>
        <w:spacing w:before="0"/>
        <w:ind w:left="420" w:hanging="420"/>
        <w:rPr>
          <w:rFonts w:hint="eastAsia" w:ascii="宋体" w:hAnsi="宋体" w:eastAsia="宋体" w:cs="宋体"/>
          <w:color w:val="auto"/>
          <w:sz w:val="24"/>
          <w:szCs w:val="24"/>
          <w:highlight w:val="none"/>
        </w:rPr>
      </w:pPr>
      <w:bookmarkStart w:id="125" w:name="_Toc7408"/>
      <w:bookmarkStart w:id="126" w:name="_Toc21795"/>
      <w:r>
        <w:rPr>
          <w:rFonts w:hint="eastAsia" w:ascii="宋体" w:hAnsi="宋体" w:eastAsia="宋体" w:cs="宋体"/>
          <w:color w:val="auto"/>
          <w:sz w:val="24"/>
          <w:szCs w:val="24"/>
          <w:highlight w:val="none"/>
        </w:rPr>
        <w:t>24.中标结果公告及中标通知书</w:t>
      </w:r>
      <w:bookmarkEnd w:id="125"/>
      <w:bookmarkEnd w:id="126"/>
    </w:p>
    <w:p w14:paraId="042AF3A8">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24.1采购代理机构自中标人确定之日起2个工作日内，在省级以上财政部门指定的媒体上公告中标结果，招标文件应当随中标结果同时公告。中标公告期限为1个工作日。</w:t>
      </w:r>
    </w:p>
    <w:p w14:paraId="7ED224CE">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24.2在公告中标结果的同时，采购代理机构应当向中标人发出中标通知书。</w:t>
      </w:r>
    </w:p>
    <w:p w14:paraId="5EDAFC8D">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24.3中标通知书发出后，采购人不得违法改变中标结果，中标人无正当理由不得放弃中标。</w:t>
      </w:r>
    </w:p>
    <w:p w14:paraId="1217A809">
      <w:pPr>
        <w:pStyle w:val="4"/>
        <w:spacing w:before="0"/>
        <w:ind w:left="420" w:hanging="420"/>
        <w:rPr>
          <w:rFonts w:hint="eastAsia" w:ascii="宋体" w:hAnsi="宋体" w:eastAsia="宋体" w:cs="宋体"/>
          <w:color w:val="auto"/>
          <w:sz w:val="24"/>
          <w:szCs w:val="24"/>
          <w:highlight w:val="none"/>
        </w:rPr>
      </w:pPr>
      <w:bookmarkStart w:id="127" w:name="_Toc20530"/>
      <w:bookmarkStart w:id="128" w:name="_Toc24847"/>
      <w:r>
        <w:rPr>
          <w:rFonts w:hint="eastAsia" w:ascii="宋体" w:hAnsi="宋体" w:eastAsia="宋体" w:cs="宋体"/>
          <w:color w:val="auto"/>
          <w:sz w:val="24"/>
          <w:szCs w:val="24"/>
          <w:highlight w:val="none"/>
        </w:rPr>
        <w:t>25.签订合同</w:t>
      </w:r>
      <w:bookmarkEnd w:id="127"/>
      <w:bookmarkEnd w:id="128"/>
    </w:p>
    <w:p w14:paraId="30960995">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25.1采购人应当自中标通知书发出之日起30日内，按照招标文件和中标人投标文件的规定，与中标人签订书面合同。所签订的合同不得对招标文件确定的事项和中标人投标文件作实质性修改。</w:t>
      </w:r>
    </w:p>
    <w:p w14:paraId="06FA6855">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采购人不得向中标人提出任何不合理的要求作为签订合同的条件。</w:t>
      </w:r>
    </w:p>
    <w:p w14:paraId="4F813821">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25.2采购人与中标人应当根据合同的约定依法履行合同义务。政府采购合同的履行、违约责任和解决争议的方法等适用《中华人民共和国民法典》。</w:t>
      </w:r>
    </w:p>
    <w:p w14:paraId="2B532D1F">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25.3根据《政府采购法实施条例》第四十九条规定，中标人无不正当理由拒与采购人签订政府采购合同的，按照第七十二条进行处罚。</w:t>
      </w:r>
    </w:p>
    <w:p w14:paraId="30F6BDA7">
      <w:pPr>
        <w:pStyle w:val="4"/>
        <w:spacing w:before="0"/>
        <w:ind w:left="420" w:hanging="420"/>
        <w:rPr>
          <w:rFonts w:hint="eastAsia" w:ascii="宋体" w:hAnsi="宋体" w:eastAsia="宋体" w:cs="宋体"/>
          <w:color w:val="auto"/>
          <w:sz w:val="24"/>
          <w:szCs w:val="24"/>
          <w:highlight w:val="none"/>
        </w:rPr>
      </w:pPr>
      <w:bookmarkStart w:id="129" w:name="_Toc18793"/>
      <w:bookmarkStart w:id="130" w:name="_Toc26114"/>
      <w:r>
        <w:rPr>
          <w:rFonts w:hint="eastAsia" w:ascii="宋体" w:hAnsi="宋体" w:eastAsia="宋体" w:cs="宋体"/>
          <w:color w:val="auto"/>
          <w:sz w:val="24"/>
          <w:szCs w:val="24"/>
          <w:highlight w:val="none"/>
        </w:rPr>
        <w:t>26.履约保证金</w:t>
      </w:r>
      <w:bookmarkEnd w:id="129"/>
      <w:bookmarkEnd w:id="130"/>
    </w:p>
    <w:p w14:paraId="04D67CC6">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26.1在签订合同前，中标人应按投标人须知前附表规定的形式、金额向采购人提交履约保证金。</w:t>
      </w:r>
    </w:p>
    <w:p w14:paraId="337D67E3">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26.2中标人不能按本章要求提交履约保证金的，视为放弃中标，其投标保证金不予退还，给采购人造成的损失超过投标保证金数额的，中标人还应当对超过部分予以赔偿。</w:t>
      </w:r>
    </w:p>
    <w:p w14:paraId="6D072C87">
      <w:pPr>
        <w:pStyle w:val="3"/>
        <w:spacing w:before="0"/>
        <w:jc w:val="center"/>
        <w:rPr>
          <w:rFonts w:hint="eastAsia" w:ascii="宋体" w:hAnsi="宋体" w:eastAsia="宋体" w:cs="宋体"/>
          <w:color w:val="auto"/>
          <w:szCs w:val="28"/>
          <w:highlight w:val="none"/>
        </w:rPr>
      </w:pPr>
      <w:bookmarkStart w:id="131" w:name="_Toc9371"/>
      <w:bookmarkStart w:id="132" w:name="_Toc18345"/>
      <w:bookmarkStart w:id="133" w:name="_Toc22817"/>
      <w:bookmarkStart w:id="134" w:name="_Toc18663"/>
      <w:r>
        <w:rPr>
          <w:rFonts w:hint="eastAsia" w:ascii="宋体" w:hAnsi="宋体" w:eastAsia="宋体" w:cs="宋体"/>
          <w:color w:val="auto"/>
          <w:szCs w:val="28"/>
          <w:highlight w:val="none"/>
        </w:rPr>
        <w:t>七、其他事项</w:t>
      </w:r>
      <w:bookmarkEnd w:id="131"/>
      <w:bookmarkEnd w:id="132"/>
      <w:bookmarkEnd w:id="133"/>
      <w:bookmarkEnd w:id="134"/>
    </w:p>
    <w:p w14:paraId="474438AB">
      <w:pPr>
        <w:pStyle w:val="4"/>
        <w:spacing w:before="0"/>
        <w:ind w:left="420" w:hanging="420"/>
        <w:rPr>
          <w:rFonts w:hint="eastAsia" w:ascii="宋体" w:hAnsi="宋体" w:eastAsia="宋体" w:cs="宋体"/>
          <w:color w:val="auto"/>
          <w:sz w:val="24"/>
          <w:szCs w:val="24"/>
          <w:highlight w:val="none"/>
        </w:rPr>
      </w:pPr>
      <w:bookmarkStart w:id="135" w:name="_Toc3115"/>
      <w:bookmarkStart w:id="136" w:name="_Toc26291"/>
      <w:r>
        <w:rPr>
          <w:rFonts w:hint="eastAsia" w:ascii="宋体" w:hAnsi="宋体" w:eastAsia="宋体" w:cs="宋体"/>
          <w:color w:val="auto"/>
          <w:sz w:val="24"/>
          <w:szCs w:val="24"/>
          <w:highlight w:val="none"/>
        </w:rPr>
        <w:t>27.</w:t>
      </w:r>
      <w:bookmarkEnd w:id="135"/>
      <w:r>
        <w:rPr>
          <w:rFonts w:hint="eastAsia" w:ascii="宋体" w:hAnsi="宋体" w:eastAsia="宋体" w:cs="宋体"/>
          <w:color w:val="auto"/>
          <w:sz w:val="24"/>
          <w:szCs w:val="24"/>
          <w:highlight w:val="none"/>
        </w:rPr>
        <w:t>其他费用</w:t>
      </w:r>
      <w:bookmarkEnd w:id="136"/>
    </w:p>
    <w:p w14:paraId="1F3EDB41">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27.1其他费用：见“</w:t>
      </w:r>
      <w:r>
        <w:rPr>
          <w:rFonts w:hint="eastAsia" w:ascii="宋体" w:hAnsi="宋体" w:eastAsia="宋体" w:cs="宋体"/>
          <w:b/>
          <w:color w:val="auto"/>
          <w:sz w:val="24"/>
          <w:highlight w:val="none"/>
        </w:rPr>
        <w:t>投标人须知前附表</w:t>
      </w:r>
      <w:r>
        <w:rPr>
          <w:rFonts w:hint="eastAsia" w:ascii="宋体" w:hAnsi="宋体" w:eastAsia="宋体" w:cs="宋体"/>
          <w:color w:val="auto"/>
          <w:sz w:val="24"/>
          <w:highlight w:val="none"/>
        </w:rPr>
        <w:t>”。</w:t>
      </w:r>
    </w:p>
    <w:p w14:paraId="496E0C01">
      <w:pPr>
        <w:pStyle w:val="4"/>
        <w:spacing w:before="0"/>
        <w:ind w:left="420" w:hanging="420"/>
        <w:rPr>
          <w:rFonts w:hint="eastAsia" w:ascii="宋体" w:hAnsi="宋体" w:eastAsia="宋体" w:cs="宋体"/>
          <w:color w:val="auto"/>
          <w:sz w:val="24"/>
          <w:szCs w:val="24"/>
          <w:highlight w:val="none"/>
        </w:rPr>
      </w:pPr>
      <w:bookmarkStart w:id="137" w:name="_Toc3713"/>
      <w:bookmarkStart w:id="138" w:name="_Toc15652"/>
      <w:r>
        <w:rPr>
          <w:rFonts w:hint="eastAsia" w:ascii="宋体" w:hAnsi="宋体" w:eastAsia="宋体" w:cs="宋体"/>
          <w:color w:val="auto"/>
          <w:sz w:val="24"/>
          <w:szCs w:val="24"/>
          <w:highlight w:val="none"/>
        </w:rPr>
        <w:t>28.质疑</w:t>
      </w:r>
      <w:bookmarkEnd w:id="137"/>
      <w:bookmarkEnd w:id="138"/>
    </w:p>
    <w:p w14:paraId="1DCF4F78">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28.1投标人认为招标文件、招标过程、中标或者成交结果使自己的权益受到损害的，可以在知道或者应知其权益受到损害之日起7个工作日内，以书面形式向采购人、采购代理机构提出质疑。提出质疑的投标人（以下简称质疑投标人）应当是参与所质疑项目采购活动的投标人。潜在投标人已依法获取其可质疑的招标文件的，可以对该文件提出质疑。对招标文件提出质疑的，应当在获取招标文件或者招标文件公告期限届满之日起7个工作日内提出。</w:t>
      </w:r>
    </w:p>
    <w:p w14:paraId="35285E8D">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可以委托代理人进行质疑和投诉。其授权委托书应当载明代理人的姓名或者名称、代理事项、具体权限、期限和相关事项。投标人为自然人的，应当由本人签字；投标人为法人或者其他组织的，应当由法定代表人、主要负责人签字或者盖章，并加盖公章。</w:t>
      </w:r>
    </w:p>
    <w:p w14:paraId="68C00449">
      <w:pPr>
        <w:spacing w:line="360" w:lineRule="auto"/>
        <w:ind w:firstLine="410" w:firstLineChars="171"/>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受理质疑部门：采购人或采购代理机构</w:t>
      </w:r>
    </w:p>
    <w:p w14:paraId="29716626">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28.2投标人提出质疑应当提交质疑函和必要的证明材料。质疑函应当包括下列内容：</w:t>
      </w:r>
    </w:p>
    <w:p w14:paraId="7E687C6B">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（一）投标人的姓名或者名称、地址、邮编、联系人及联系电话；</w:t>
      </w:r>
    </w:p>
    <w:p w14:paraId="097A130E">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（二）质疑项目的名称、编号；</w:t>
      </w:r>
    </w:p>
    <w:p w14:paraId="2B39AF11">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（三）具体、明确的质疑事项和与质疑事项相关的请求；</w:t>
      </w:r>
    </w:p>
    <w:p w14:paraId="5EFDF4BE">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（四）事实依据；</w:t>
      </w:r>
    </w:p>
    <w:p w14:paraId="4FA3077F">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（五）必要的法律依据；</w:t>
      </w:r>
    </w:p>
    <w:p w14:paraId="3C63713F">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（六）提出质疑的日期。</w:t>
      </w:r>
    </w:p>
    <w:p w14:paraId="4DFC5D1F">
      <w:pPr>
        <w:spacing w:line="360" w:lineRule="auto"/>
        <w:ind w:firstLine="410" w:firstLineChars="171"/>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投标人为自然人的，应当由本人签字；投标人为法人或者其他组织的，应当由法定代表人、主要负责人，或者其授权代表签字或者盖章，并加盖公章。</w:t>
      </w:r>
    </w:p>
    <w:p w14:paraId="658D42EE">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color w:val="auto"/>
          <w:sz w:val="24"/>
          <w:highlight w:val="none"/>
        </w:rPr>
        <w:t>28.3采购人、采购代理机构不得拒收质疑投标人在法定质疑期内发出的质疑函，应当在收到质疑函后7个工作日内作出答复，并以书面形式通知质疑投标人和其他有关投标人</w:t>
      </w:r>
      <w:r>
        <w:rPr>
          <w:rFonts w:hint="eastAsia" w:ascii="宋体" w:hAnsi="宋体" w:eastAsia="宋体" w:cs="宋体"/>
          <w:bCs/>
          <w:color w:val="auto"/>
          <w:sz w:val="24"/>
          <w:highlight w:val="none"/>
        </w:rPr>
        <w:t>。</w:t>
      </w:r>
    </w:p>
    <w:p w14:paraId="774D880A">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28.4投标人对评审过程、中标或者成交结果提出质疑的，采购人、采购代理机构可以组织原评标委员会、竞争性谈判小组、询价小组或者竞争性评标委员会协助答复质疑。</w:t>
      </w:r>
    </w:p>
    <w:p w14:paraId="7468D0D4">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质疑答复应当包括下列内容：</w:t>
      </w:r>
    </w:p>
    <w:p w14:paraId="7420561D">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（一）质疑投标人的姓名或者名称；</w:t>
      </w:r>
    </w:p>
    <w:p w14:paraId="1794958B">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（二）收到质疑函的日期、质疑项目名称及编号；</w:t>
      </w:r>
    </w:p>
    <w:p w14:paraId="3A39A47A">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（三）质疑事项、质疑答复的具体内容、事实依据和法律依据；</w:t>
      </w:r>
    </w:p>
    <w:p w14:paraId="5067B1E3">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（四）告知质疑投标人依法投诉的权利；</w:t>
      </w:r>
    </w:p>
    <w:p w14:paraId="35203BF0">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（五）质疑答复人名称；</w:t>
      </w:r>
    </w:p>
    <w:p w14:paraId="30A8444C">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（六）答复质疑的日期。</w:t>
      </w:r>
    </w:p>
    <w:p w14:paraId="4250F6D8">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质疑答复的内容不得涉及商业秘密。</w:t>
      </w:r>
    </w:p>
    <w:p w14:paraId="371A9123">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color w:val="auto"/>
          <w:sz w:val="24"/>
          <w:highlight w:val="none"/>
        </w:rPr>
        <w:t>具体规定按中华人民共和国财政部令第94号--《政府采购质疑和投诉办法》办法处理。</w:t>
      </w:r>
    </w:p>
    <w:p w14:paraId="113ECF4C">
      <w:pPr>
        <w:pStyle w:val="4"/>
        <w:spacing w:before="0"/>
        <w:ind w:left="420" w:hanging="420"/>
        <w:rPr>
          <w:rFonts w:hint="eastAsia" w:ascii="宋体" w:hAnsi="宋体" w:eastAsia="宋体" w:cs="宋体"/>
          <w:color w:val="auto"/>
          <w:sz w:val="24"/>
          <w:szCs w:val="24"/>
          <w:highlight w:val="none"/>
        </w:rPr>
      </w:pPr>
      <w:bookmarkStart w:id="139" w:name="_Toc23640"/>
      <w:bookmarkStart w:id="140" w:name="_Toc13085"/>
      <w:r>
        <w:rPr>
          <w:rFonts w:hint="eastAsia" w:ascii="宋体" w:hAnsi="宋体" w:eastAsia="宋体" w:cs="宋体"/>
          <w:color w:val="auto"/>
          <w:sz w:val="24"/>
          <w:szCs w:val="24"/>
          <w:highlight w:val="none"/>
        </w:rPr>
        <w:t>29.投诉</w:t>
      </w:r>
      <w:bookmarkEnd w:id="139"/>
      <w:bookmarkEnd w:id="140"/>
    </w:p>
    <w:p w14:paraId="31A35972">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质疑投标人对采购人、采购代理机构的答复不满意，或者采购人、采购代理机构未在规定时间内作出答复的，可以在答复期满后15个工作日内向采购监管部门提出投诉。</w:t>
      </w:r>
    </w:p>
    <w:p w14:paraId="62AB4527">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投诉人投诉时,应当提交投诉书和必要的证明材料，并按照被投诉采购人、采购代理机构（以下简称被投诉人）和与投诉事项有关的投标人数量提供投诉书的副本。投诉书应当包括下列内容：</w:t>
      </w:r>
    </w:p>
    <w:p w14:paraId="5F88C1BB">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（一）投诉人和被投诉人的姓名或者名称、通讯地址、邮编、联系人及联系电话；</w:t>
      </w:r>
    </w:p>
    <w:p w14:paraId="1C7D1799">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（二）质疑和质疑答复情况说明及相关证明材料；</w:t>
      </w:r>
    </w:p>
    <w:p w14:paraId="05FF1B4F">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（三）具体、明确的投诉事项和与投诉事项相关的投诉请求；</w:t>
      </w:r>
    </w:p>
    <w:p w14:paraId="26C74732">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（四）事实依据；</w:t>
      </w:r>
    </w:p>
    <w:p w14:paraId="4603040F">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（五）法律依据；</w:t>
      </w:r>
    </w:p>
    <w:p w14:paraId="7CBF8471">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（六）提起投诉的日期。</w:t>
      </w:r>
    </w:p>
    <w:p w14:paraId="5A48F0D0">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投诉人为自然人的，应当由本人签字；投诉人为法人或者其他组织的，应当由法定代表人、主要负责人，或者其授权代表签字或者盖章，并加盖公章。</w:t>
      </w:r>
    </w:p>
    <w:p w14:paraId="3B4B4EE1">
      <w:pPr>
        <w:pStyle w:val="4"/>
        <w:spacing w:before="0"/>
        <w:ind w:left="420" w:hanging="420"/>
        <w:rPr>
          <w:rFonts w:hint="eastAsia" w:ascii="宋体" w:hAnsi="宋体" w:eastAsia="宋体" w:cs="宋体"/>
          <w:color w:val="auto"/>
          <w:sz w:val="24"/>
          <w:szCs w:val="24"/>
          <w:highlight w:val="none"/>
        </w:rPr>
      </w:pPr>
      <w:bookmarkStart w:id="141" w:name="_Toc8084"/>
      <w:bookmarkStart w:id="142" w:name="_Toc18975"/>
      <w:r>
        <w:rPr>
          <w:rFonts w:hint="eastAsia" w:ascii="宋体" w:hAnsi="宋体" w:eastAsia="宋体" w:cs="宋体"/>
          <w:color w:val="auto"/>
          <w:sz w:val="24"/>
          <w:szCs w:val="24"/>
          <w:highlight w:val="none"/>
        </w:rPr>
        <w:t>30.解释权</w:t>
      </w:r>
      <w:bookmarkEnd w:id="141"/>
      <w:bookmarkEnd w:id="142"/>
    </w:p>
    <w:p w14:paraId="531DD61E">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本招标文件是根据《中华人民共和国政府采购法》及相关法律法规编制，解释权属采购人及采购代理机构。</w:t>
      </w:r>
    </w:p>
    <w:p w14:paraId="3AAC2892">
      <w:pPr>
        <w:pStyle w:val="4"/>
        <w:spacing w:before="0"/>
        <w:ind w:left="420" w:hanging="420"/>
        <w:rPr>
          <w:rFonts w:hint="eastAsia" w:ascii="宋体" w:hAnsi="宋体" w:eastAsia="宋体" w:cs="宋体"/>
          <w:color w:val="auto"/>
          <w:sz w:val="24"/>
          <w:szCs w:val="24"/>
          <w:highlight w:val="none"/>
        </w:rPr>
      </w:pPr>
      <w:bookmarkStart w:id="143" w:name="_Toc8073"/>
      <w:bookmarkStart w:id="144" w:name="_Toc6659"/>
      <w:r>
        <w:rPr>
          <w:rFonts w:hint="eastAsia" w:ascii="宋体" w:hAnsi="宋体" w:eastAsia="宋体" w:cs="宋体"/>
          <w:color w:val="auto"/>
          <w:sz w:val="24"/>
          <w:szCs w:val="24"/>
          <w:highlight w:val="none"/>
        </w:rPr>
        <w:t>31.需要补充的其他内容</w:t>
      </w:r>
      <w:bookmarkEnd w:id="143"/>
      <w:bookmarkEnd w:id="144"/>
    </w:p>
    <w:p w14:paraId="799D438D">
      <w:pPr>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p>
    <w:p w14:paraId="451D9247">
      <w:pPr>
        <w:widowControl/>
        <w:spacing w:line="360" w:lineRule="auto"/>
        <w:jc w:val="center"/>
        <w:outlineLvl w:val="0"/>
        <w:rPr>
          <w:rFonts w:hint="eastAsia" w:ascii="宋体" w:hAnsi="宋体" w:eastAsia="宋体" w:cs="宋体"/>
          <w:bCs/>
          <w:color w:val="auto"/>
          <w:sz w:val="36"/>
          <w:highlight w:val="none"/>
        </w:rPr>
      </w:pPr>
      <w:bookmarkStart w:id="145" w:name="_Toc10816"/>
      <w:bookmarkStart w:id="146" w:name="_Toc2294"/>
      <w:bookmarkStart w:id="147" w:name="_Toc21598"/>
      <w:bookmarkStart w:id="148" w:name="_Toc3304"/>
      <w:bookmarkStart w:id="149" w:name="_Toc30763"/>
      <w:bookmarkStart w:id="150" w:name="_Toc10009"/>
      <w:bookmarkStart w:id="151" w:name="_Toc20908"/>
      <w:bookmarkStart w:id="152" w:name="_Toc14603"/>
      <w:bookmarkStart w:id="153" w:name="_Toc8063"/>
      <w:r>
        <w:rPr>
          <w:rFonts w:hint="eastAsia" w:ascii="宋体" w:hAnsi="宋体" w:eastAsia="宋体" w:cs="宋体"/>
          <w:b/>
          <w:bCs/>
          <w:color w:val="auto"/>
          <w:kern w:val="44"/>
          <w:sz w:val="36"/>
          <w:szCs w:val="20"/>
          <w:highlight w:val="none"/>
        </w:rPr>
        <w:t xml:space="preserve">第三章  </w:t>
      </w:r>
      <w:bookmarkEnd w:id="145"/>
      <w:bookmarkEnd w:id="146"/>
      <w:bookmarkEnd w:id="147"/>
      <w:bookmarkEnd w:id="148"/>
      <w:bookmarkEnd w:id="149"/>
      <w:bookmarkEnd w:id="150"/>
      <w:bookmarkEnd w:id="151"/>
      <w:bookmarkEnd w:id="152"/>
      <w:r>
        <w:rPr>
          <w:rFonts w:hint="eastAsia" w:ascii="宋体" w:hAnsi="宋体" w:eastAsia="宋体" w:cs="宋体"/>
          <w:b/>
          <w:bCs/>
          <w:color w:val="auto"/>
          <w:kern w:val="44"/>
          <w:sz w:val="36"/>
          <w:szCs w:val="20"/>
          <w:highlight w:val="none"/>
        </w:rPr>
        <w:t>合同书样式及主要条款</w:t>
      </w:r>
      <w:bookmarkEnd w:id="153"/>
    </w:p>
    <w:p w14:paraId="33E8F63F">
      <w:pPr>
        <w:jc w:val="center"/>
        <w:rPr>
          <w:rFonts w:hint="eastAsia" w:ascii="宋体" w:hAnsi="宋体" w:eastAsia="宋体" w:cs="宋体"/>
          <w:b/>
          <w:bCs/>
          <w:color w:val="auto"/>
          <w:highlight w:val="none"/>
        </w:rPr>
      </w:pPr>
      <w:r>
        <w:rPr>
          <w:rFonts w:hint="eastAsia" w:ascii="宋体" w:hAnsi="宋体" w:eastAsia="宋体" w:cs="宋体"/>
          <w:b/>
          <w:bCs/>
          <w:color w:val="auto"/>
          <w:highlight w:val="none"/>
        </w:rPr>
        <w:t>（</w:t>
      </w:r>
      <w:r>
        <w:rPr>
          <w:rFonts w:hint="eastAsia" w:ascii="宋体" w:hAnsi="宋体" w:eastAsia="宋体" w:cs="宋体"/>
          <w:b/>
          <w:color w:val="auto"/>
          <w:sz w:val="30"/>
          <w:szCs w:val="30"/>
          <w:highlight w:val="none"/>
        </w:rPr>
        <w:t>本合同仅供参考，最终合同以甲乙双方协商确定为准）</w:t>
      </w:r>
    </w:p>
    <w:p w14:paraId="3B8A56F8">
      <w:pPr>
        <w:rPr>
          <w:rFonts w:hint="eastAsia" w:ascii="宋体" w:hAnsi="宋体" w:eastAsia="宋体" w:cs="宋体"/>
          <w:b/>
          <w:bCs/>
          <w:color w:val="auto"/>
          <w:highlight w:val="none"/>
        </w:rPr>
      </w:pPr>
    </w:p>
    <w:p w14:paraId="58D9601C">
      <w:pPr>
        <w:pStyle w:val="15"/>
        <w:jc w:val="center"/>
        <w:rPr>
          <w:rFonts w:hint="eastAsia" w:ascii="宋体" w:hAnsi="宋体" w:eastAsia="宋体" w:cs="宋体"/>
          <w:b/>
          <w:bCs/>
          <w:color w:val="auto"/>
          <w:spacing w:val="-20"/>
          <w:kern w:val="44"/>
          <w:sz w:val="48"/>
          <w:szCs w:val="48"/>
          <w:highlight w:val="none"/>
          <w:lang w:eastAsia="zh-CN"/>
        </w:rPr>
      </w:pPr>
    </w:p>
    <w:p w14:paraId="105C7986">
      <w:pPr>
        <w:pStyle w:val="15"/>
        <w:jc w:val="center"/>
        <w:rPr>
          <w:rFonts w:hint="eastAsia" w:ascii="宋体" w:hAnsi="宋体" w:eastAsia="宋体" w:cs="宋体"/>
          <w:b/>
          <w:bCs/>
          <w:color w:val="auto"/>
          <w:spacing w:val="-20"/>
          <w:kern w:val="44"/>
          <w:sz w:val="48"/>
          <w:szCs w:val="48"/>
          <w:highlight w:val="none"/>
          <w:lang w:eastAsia="zh-CN"/>
        </w:rPr>
      </w:pPr>
    </w:p>
    <w:p w14:paraId="633F64F3">
      <w:pPr>
        <w:pStyle w:val="15"/>
        <w:jc w:val="center"/>
        <w:rPr>
          <w:rFonts w:hint="eastAsia" w:ascii="宋体" w:hAnsi="宋体" w:eastAsia="宋体" w:cs="宋体"/>
          <w:b/>
          <w:bCs/>
          <w:color w:val="auto"/>
          <w:spacing w:val="-20"/>
          <w:kern w:val="44"/>
          <w:sz w:val="48"/>
          <w:szCs w:val="48"/>
          <w:highlight w:val="none"/>
          <w:lang w:eastAsia="zh-CN"/>
        </w:rPr>
      </w:pPr>
    </w:p>
    <w:p w14:paraId="3C784B75">
      <w:pPr>
        <w:pStyle w:val="38"/>
        <w:jc w:val="center"/>
        <w:rPr>
          <w:rFonts w:hint="eastAsia" w:ascii="宋体" w:hAnsi="宋体" w:eastAsia="宋体" w:cs="宋体"/>
          <w:color w:val="auto"/>
          <w:sz w:val="40"/>
          <w:szCs w:val="40"/>
          <w:highlight w:val="none"/>
          <w:lang w:eastAsia="zh-CN"/>
        </w:rPr>
      </w:pPr>
      <w:r>
        <w:rPr>
          <w:rFonts w:hint="eastAsia" w:ascii="宋体" w:hAnsi="宋体" w:eastAsia="宋体" w:cs="宋体"/>
          <w:b/>
          <w:bCs/>
          <w:color w:val="auto"/>
          <w:spacing w:val="15"/>
          <w:sz w:val="72"/>
          <w:szCs w:val="72"/>
          <w:highlight w:val="none"/>
          <w:shd w:val="clear" w:color="auto" w:fill="FFFFFF"/>
          <w:lang w:eastAsia="zh-CN"/>
        </w:rPr>
        <w:t>政府采购合同</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15" w:type="dxa"/>
          <w:left w:w="15" w:type="dxa"/>
          <w:bottom w:w="15" w:type="dxa"/>
          <w:right w:w="15" w:type="dxa"/>
        </w:tblCellMar>
      </w:tblPr>
      <w:tblGrid>
        <w:gridCol w:w="3973"/>
        <w:gridCol w:w="5739"/>
      </w:tblGrid>
      <w:tr w14:paraId="4950E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PrEx>
        <w:tc>
          <w:tcPr>
            <w:tcW w:w="5400" w:type="dxa"/>
            <w:shd w:val="clear" w:color="auto" w:fill="auto"/>
            <w:noWrap w:val="0"/>
            <w:tcMar>
              <w:top w:w="75" w:type="dxa"/>
              <w:left w:w="150" w:type="dxa"/>
              <w:bottom w:w="75" w:type="dxa"/>
              <w:right w:w="150" w:type="dxa"/>
            </w:tcMar>
            <w:vAlign w:val="top"/>
          </w:tcPr>
          <w:p w14:paraId="4C49851C">
            <w:pPr>
              <w:pStyle w:val="38"/>
              <w:wordWrap w:val="0"/>
              <w:jc w:val="right"/>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项 目 名 称：</w:t>
            </w:r>
          </w:p>
        </w:tc>
        <w:tc>
          <w:tcPr>
            <w:tcW w:w="7995" w:type="dxa"/>
            <w:shd w:val="clear" w:color="auto" w:fill="auto"/>
            <w:noWrap w:val="0"/>
            <w:tcMar>
              <w:top w:w="75" w:type="dxa"/>
              <w:left w:w="150" w:type="dxa"/>
              <w:bottom w:w="75" w:type="dxa"/>
              <w:right w:w="150" w:type="dxa"/>
            </w:tcMar>
            <w:vAlign w:val="top"/>
          </w:tcPr>
          <w:p w14:paraId="113F2833">
            <w:pPr>
              <w:pStyle w:val="38"/>
              <w:wordWrap w:val="0"/>
              <w:rPr>
                <w:rFonts w:hint="eastAsia" w:ascii="宋体" w:hAnsi="宋体" w:eastAsia="宋体" w:cs="宋体"/>
                <w:color w:val="auto"/>
                <w:sz w:val="32"/>
                <w:szCs w:val="32"/>
                <w:highlight w:val="none"/>
                <w:lang w:eastAsia="zh-CN"/>
              </w:rPr>
            </w:pPr>
            <w:r>
              <w:rPr>
                <w:rStyle w:val="52"/>
                <w:rFonts w:hint="eastAsia" w:ascii="宋体" w:hAnsi="宋体" w:eastAsia="宋体" w:cs="宋体"/>
                <w:color w:val="auto"/>
                <w:sz w:val="32"/>
                <w:szCs w:val="32"/>
                <w:highlight w:val="none"/>
                <w:u w:val="single"/>
                <w:lang w:eastAsia="zh-CN"/>
              </w:rPr>
              <w:t xml:space="preserve">                </w:t>
            </w:r>
          </w:p>
        </w:tc>
      </w:tr>
      <w:tr w14:paraId="6B0AF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495" w:hRule="atLeast"/>
        </w:trPr>
        <w:tc>
          <w:tcPr>
            <w:tcW w:w="5400" w:type="dxa"/>
            <w:shd w:val="clear" w:color="auto" w:fill="auto"/>
            <w:noWrap w:val="0"/>
            <w:tcMar>
              <w:top w:w="75" w:type="dxa"/>
              <w:left w:w="150" w:type="dxa"/>
              <w:bottom w:w="75" w:type="dxa"/>
              <w:right w:w="150" w:type="dxa"/>
            </w:tcMar>
            <w:vAlign w:val="top"/>
          </w:tcPr>
          <w:p w14:paraId="5040DDF2">
            <w:pPr>
              <w:pStyle w:val="38"/>
              <w:rPr>
                <w:rFonts w:hint="eastAsia" w:ascii="宋体" w:hAnsi="宋体" w:eastAsia="宋体" w:cs="宋体"/>
                <w:color w:val="auto"/>
                <w:sz w:val="32"/>
                <w:szCs w:val="32"/>
                <w:highlight w:val="none"/>
              </w:rPr>
            </w:pPr>
          </w:p>
        </w:tc>
        <w:tc>
          <w:tcPr>
            <w:tcW w:w="7995" w:type="dxa"/>
            <w:shd w:val="clear" w:color="auto" w:fill="auto"/>
            <w:noWrap w:val="0"/>
            <w:tcMar>
              <w:top w:w="75" w:type="dxa"/>
              <w:left w:w="150" w:type="dxa"/>
              <w:bottom w:w="75" w:type="dxa"/>
              <w:right w:w="150" w:type="dxa"/>
            </w:tcMar>
            <w:vAlign w:val="top"/>
          </w:tcPr>
          <w:p w14:paraId="4348E9C2">
            <w:pPr>
              <w:pStyle w:val="38"/>
              <w:rPr>
                <w:rFonts w:hint="eastAsia" w:ascii="宋体" w:hAnsi="宋体" w:eastAsia="宋体" w:cs="宋体"/>
                <w:color w:val="auto"/>
                <w:sz w:val="32"/>
                <w:szCs w:val="32"/>
                <w:highlight w:val="none"/>
              </w:rPr>
            </w:pPr>
          </w:p>
        </w:tc>
      </w:tr>
      <w:tr w14:paraId="7F034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c>
          <w:tcPr>
            <w:tcW w:w="5400" w:type="dxa"/>
            <w:shd w:val="clear" w:color="auto" w:fill="auto"/>
            <w:noWrap w:val="0"/>
            <w:tcMar>
              <w:top w:w="75" w:type="dxa"/>
              <w:left w:w="150" w:type="dxa"/>
              <w:bottom w:w="75" w:type="dxa"/>
              <w:right w:w="150" w:type="dxa"/>
            </w:tcMar>
            <w:vAlign w:val="top"/>
          </w:tcPr>
          <w:p w14:paraId="4410CB7C">
            <w:pPr>
              <w:pStyle w:val="38"/>
              <w:wordWrap w:val="0"/>
              <w:jc w:val="right"/>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shd w:val="clear" w:color="auto" w:fill="FFFFFF"/>
              </w:rPr>
              <w:t>合 同 编 号：</w:t>
            </w:r>
          </w:p>
        </w:tc>
        <w:tc>
          <w:tcPr>
            <w:tcW w:w="7995" w:type="dxa"/>
            <w:shd w:val="clear" w:color="auto" w:fill="auto"/>
            <w:noWrap w:val="0"/>
            <w:tcMar>
              <w:top w:w="75" w:type="dxa"/>
              <w:left w:w="150" w:type="dxa"/>
              <w:bottom w:w="75" w:type="dxa"/>
              <w:right w:w="150" w:type="dxa"/>
            </w:tcMar>
            <w:vAlign w:val="top"/>
          </w:tcPr>
          <w:p w14:paraId="05954212">
            <w:pPr>
              <w:pStyle w:val="38"/>
              <w:wordWrap w:val="0"/>
              <w:rPr>
                <w:rFonts w:hint="eastAsia" w:ascii="宋体" w:hAnsi="宋体" w:eastAsia="宋体" w:cs="宋体"/>
                <w:color w:val="auto"/>
                <w:sz w:val="32"/>
                <w:szCs w:val="32"/>
                <w:highlight w:val="none"/>
              </w:rPr>
            </w:pPr>
            <w:r>
              <w:rPr>
                <w:rStyle w:val="52"/>
                <w:rFonts w:hint="eastAsia" w:ascii="宋体" w:hAnsi="宋体" w:eastAsia="宋体" w:cs="宋体"/>
                <w:color w:val="auto"/>
                <w:sz w:val="32"/>
                <w:szCs w:val="32"/>
                <w:highlight w:val="none"/>
                <w:u w:val="single"/>
                <w:shd w:val="clear" w:color="auto" w:fill="FFFFFF"/>
                <w:lang w:eastAsia="zh-CN"/>
              </w:rPr>
              <w:t xml:space="preserve">               </w:t>
            </w:r>
            <w:r>
              <w:rPr>
                <w:rFonts w:hint="eastAsia" w:ascii="宋体" w:hAnsi="宋体" w:eastAsia="宋体" w:cs="宋体"/>
                <w:color w:val="auto"/>
                <w:sz w:val="32"/>
                <w:szCs w:val="32"/>
                <w:highlight w:val="none"/>
              </w:rPr>
              <w:t>（系统编号）</w:t>
            </w:r>
          </w:p>
        </w:tc>
      </w:tr>
      <w:tr w14:paraId="5F885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c>
          <w:tcPr>
            <w:tcW w:w="5400" w:type="dxa"/>
            <w:shd w:val="clear" w:color="auto" w:fill="auto"/>
            <w:noWrap w:val="0"/>
            <w:tcMar>
              <w:top w:w="75" w:type="dxa"/>
              <w:left w:w="150" w:type="dxa"/>
              <w:bottom w:w="75" w:type="dxa"/>
              <w:right w:w="150" w:type="dxa"/>
            </w:tcMar>
            <w:vAlign w:val="top"/>
          </w:tcPr>
          <w:p w14:paraId="2FB56678">
            <w:pPr>
              <w:pStyle w:val="38"/>
              <w:rPr>
                <w:rFonts w:hint="eastAsia" w:ascii="宋体" w:hAnsi="宋体" w:eastAsia="宋体" w:cs="宋体"/>
                <w:color w:val="auto"/>
                <w:sz w:val="32"/>
                <w:szCs w:val="32"/>
                <w:highlight w:val="none"/>
              </w:rPr>
            </w:pPr>
          </w:p>
        </w:tc>
        <w:tc>
          <w:tcPr>
            <w:tcW w:w="7995" w:type="dxa"/>
            <w:shd w:val="clear" w:color="auto" w:fill="auto"/>
            <w:noWrap w:val="0"/>
            <w:tcMar>
              <w:top w:w="75" w:type="dxa"/>
              <w:left w:w="150" w:type="dxa"/>
              <w:bottom w:w="75" w:type="dxa"/>
              <w:right w:w="150" w:type="dxa"/>
            </w:tcMar>
            <w:vAlign w:val="top"/>
          </w:tcPr>
          <w:p w14:paraId="50BDDF13">
            <w:pPr>
              <w:pStyle w:val="38"/>
              <w:rPr>
                <w:rFonts w:hint="eastAsia" w:ascii="宋体" w:hAnsi="宋体" w:eastAsia="宋体" w:cs="宋体"/>
                <w:color w:val="auto"/>
                <w:sz w:val="32"/>
                <w:szCs w:val="32"/>
                <w:highlight w:val="none"/>
              </w:rPr>
            </w:pPr>
          </w:p>
        </w:tc>
      </w:tr>
      <w:tr w14:paraId="2B987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c>
          <w:tcPr>
            <w:tcW w:w="5400" w:type="dxa"/>
            <w:shd w:val="clear" w:color="auto" w:fill="auto"/>
            <w:noWrap w:val="0"/>
            <w:tcMar>
              <w:top w:w="75" w:type="dxa"/>
              <w:left w:w="150" w:type="dxa"/>
              <w:bottom w:w="75" w:type="dxa"/>
              <w:right w:w="150" w:type="dxa"/>
            </w:tcMar>
            <w:vAlign w:val="top"/>
          </w:tcPr>
          <w:p w14:paraId="28C82047">
            <w:pPr>
              <w:pStyle w:val="38"/>
              <w:rPr>
                <w:rFonts w:hint="eastAsia" w:ascii="宋体" w:hAnsi="宋体" w:eastAsia="宋体" w:cs="宋体"/>
                <w:color w:val="auto"/>
                <w:sz w:val="32"/>
                <w:szCs w:val="32"/>
                <w:highlight w:val="none"/>
              </w:rPr>
            </w:pPr>
          </w:p>
        </w:tc>
        <w:tc>
          <w:tcPr>
            <w:tcW w:w="7995" w:type="dxa"/>
            <w:shd w:val="clear" w:color="auto" w:fill="auto"/>
            <w:noWrap w:val="0"/>
            <w:tcMar>
              <w:top w:w="75" w:type="dxa"/>
              <w:left w:w="150" w:type="dxa"/>
              <w:bottom w:w="75" w:type="dxa"/>
              <w:right w:w="150" w:type="dxa"/>
            </w:tcMar>
            <w:vAlign w:val="top"/>
          </w:tcPr>
          <w:p w14:paraId="29C17BC2">
            <w:pPr>
              <w:pStyle w:val="38"/>
              <w:wordWrap w:val="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（自编号，如有）</w:t>
            </w:r>
          </w:p>
        </w:tc>
      </w:tr>
      <w:tr w14:paraId="31D33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c>
          <w:tcPr>
            <w:tcW w:w="5400" w:type="dxa"/>
            <w:shd w:val="clear" w:color="auto" w:fill="auto"/>
            <w:noWrap w:val="0"/>
            <w:tcMar>
              <w:top w:w="75" w:type="dxa"/>
              <w:left w:w="150" w:type="dxa"/>
              <w:bottom w:w="75" w:type="dxa"/>
              <w:right w:w="150" w:type="dxa"/>
            </w:tcMar>
            <w:vAlign w:val="top"/>
          </w:tcPr>
          <w:p w14:paraId="31E2CF8C">
            <w:pPr>
              <w:pStyle w:val="38"/>
              <w:rPr>
                <w:rFonts w:hint="eastAsia" w:ascii="宋体" w:hAnsi="宋体" w:eastAsia="宋体" w:cs="宋体"/>
                <w:color w:val="auto"/>
                <w:sz w:val="32"/>
                <w:szCs w:val="32"/>
                <w:highlight w:val="none"/>
              </w:rPr>
            </w:pPr>
          </w:p>
        </w:tc>
        <w:tc>
          <w:tcPr>
            <w:tcW w:w="7995" w:type="dxa"/>
            <w:shd w:val="clear" w:color="auto" w:fill="auto"/>
            <w:noWrap w:val="0"/>
            <w:tcMar>
              <w:top w:w="75" w:type="dxa"/>
              <w:left w:w="150" w:type="dxa"/>
              <w:bottom w:w="75" w:type="dxa"/>
              <w:right w:w="150" w:type="dxa"/>
            </w:tcMar>
            <w:vAlign w:val="top"/>
          </w:tcPr>
          <w:p w14:paraId="39C07E03">
            <w:pPr>
              <w:pStyle w:val="38"/>
              <w:rPr>
                <w:rFonts w:hint="eastAsia" w:ascii="宋体" w:hAnsi="宋体" w:eastAsia="宋体" w:cs="宋体"/>
                <w:color w:val="auto"/>
                <w:sz w:val="32"/>
                <w:szCs w:val="32"/>
                <w:highlight w:val="none"/>
              </w:rPr>
            </w:pPr>
          </w:p>
        </w:tc>
      </w:tr>
      <w:tr w14:paraId="5C988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c>
          <w:tcPr>
            <w:tcW w:w="5400" w:type="dxa"/>
            <w:shd w:val="clear" w:color="auto" w:fill="auto"/>
            <w:noWrap w:val="0"/>
            <w:tcMar>
              <w:top w:w="75" w:type="dxa"/>
              <w:left w:w="150" w:type="dxa"/>
              <w:bottom w:w="75" w:type="dxa"/>
              <w:right w:w="150" w:type="dxa"/>
            </w:tcMar>
            <w:vAlign w:val="top"/>
          </w:tcPr>
          <w:p w14:paraId="78F24A3F">
            <w:pPr>
              <w:pStyle w:val="38"/>
              <w:wordWrap w:val="0"/>
              <w:jc w:val="right"/>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shd w:val="clear" w:color="auto" w:fill="FFFFFF"/>
              </w:rPr>
              <w:t xml:space="preserve">甲 </w:t>
            </w:r>
            <w:r>
              <w:rPr>
                <w:rFonts w:hint="eastAsia" w:ascii="宋体" w:hAnsi="宋体" w:eastAsia="宋体" w:cs="宋体"/>
                <w:color w:val="auto"/>
                <w:sz w:val="32"/>
                <w:szCs w:val="32"/>
                <w:highlight w:val="none"/>
                <w:shd w:val="clear" w:color="auto" w:fill="FFFFFF"/>
                <w:lang w:eastAsia="zh-CN"/>
              </w:rPr>
              <w:t xml:space="preserve"> </w:t>
            </w:r>
            <w:r>
              <w:rPr>
                <w:rFonts w:hint="eastAsia" w:ascii="宋体" w:hAnsi="宋体" w:eastAsia="宋体" w:cs="宋体"/>
                <w:color w:val="auto"/>
                <w:sz w:val="32"/>
                <w:szCs w:val="32"/>
                <w:highlight w:val="none"/>
                <w:shd w:val="clear" w:color="auto" w:fill="FFFFFF"/>
              </w:rPr>
              <w:t xml:space="preserve"> </w:t>
            </w:r>
            <w:r>
              <w:rPr>
                <w:rFonts w:hint="eastAsia" w:ascii="宋体" w:hAnsi="宋体" w:eastAsia="宋体" w:cs="宋体"/>
                <w:color w:val="auto"/>
                <w:sz w:val="32"/>
                <w:szCs w:val="32"/>
                <w:highlight w:val="none"/>
                <w:shd w:val="clear" w:color="auto" w:fill="FFFFFF"/>
                <w:lang w:eastAsia="zh-CN"/>
              </w:rPr>
              <w:t xml:space="preserve">  </w:t>
            </w:r>
            <w:r>
              <w:rPr>
                <w:rFonts w:hint="eastAsia" w:ascii="宋体" w:hAnsi="宋体" w:eastAsia="宋体" w:cs="宋体"/>
                <w:color w:val="auto"/>
                <w:sz w:val="32"/>
                <w:szCs w:val="32"/>
                <w:highlight w:val="none"/>
                <w:shd w:val="clear" w:color="auto" w:fill="FFFFFF"/>
              </w:rPr>
              <w:t xml:space="preserve"> 方：</w:t>
            </w:r>
          </w:p>
        </w:tc>
        <w:tc>
          <w:tcPr>
            <w:tcW w:w="7995" w:type="dxa"/>
            <w:shd w:val="clear" w:color="auto" w:fill="auto"/>
            <w:noWrap w:val="0"/>
            <w:tcMar>
              <w:top w:w="75" w:type="dxa"/>
              <w:left w:w="150" w:type="dxa"/>
              <w:bottom w:w="75" w:type="dxa"/>
              <w:right w:w="150" w:type="dxa"/>
            </w:tcMar>
            <w:vAlign w:val="top"/>
          </w:tcPr>
          <w:p w14:paraId="3A7F10E2">
            <w:pPr>
              <w:pStyle w:val="38"/>
              <w:wordWrap w:val="0"/>
              <w:rPr>
                <w:rFonts w:hint="eastAsia" w:ascii="宋体" w:hAnsi="宋体" w:eastAsia="宋体" w:cs="宋体"/>
                <w:color w:val="auto"/>
                <w:sz w:val="32"/>
                <w:szCs w:val="32"/>
                <w:highlight w:val="none"/>
                <w:lang w:eastAsia="zh-CN"/>
              </w:rPr>
            </w:pPr>
            <w:r>
              <w:rPr>
                <w:rStyle w:val="52"/>
                <w:rFonts w:hint="eastAsia" w:ascii="宋体" w:hAnsi="宋体" w:eastAsia="宋体" w:cs="宋体"/>
                <w:color w:val="auto"/>
                <w:sz w:val="32"/>
                <w:szCs w:val="32"/>
                <w:highlight w:val="none"/>
                <w:u w:val="single"/>
                <w:shd w:val="clear" w:color="auto" w:fill="FFFFFF"/>
                <w:lang w:eastAsia="zh-CN"/>
              </w:rPr>
              <w:t xml:space="preserve">                   </w:t>
            </w:r>
          </w:p>
        </w:tc>
      </w:tr>
      <w:tr w14:paraId="6D21D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c>
          <w:tcPr>
            <w:tcW w:w="5400" w:type="dxa"/>
            <w:shd w:val="clear" w:color="auto" w:fill="auto"/>
            <w:noWrap w:val="0"/>
            <w:tcMar>
              <w:top w:w="75" w:type="dxa"/>
              <w:left w:w="150" w:type="dxa"/>
              <w:bottom w:w="75" w:type="dxa"/>
              <w:right w:w="150" w:type="dxa"/>
            </w:tcMar>
            <w:vAlign w:val="top"/>
          </w:tcPr>
          <w:p w14:paraId="2F65F79A">
            <w:pPr>
              <w:pStyle w:val="38"/>
              <w:rPr>
                <w:rFonts w:hint="eastAsia" w:ascii="宋体" w:hAnsi="宋体" w:eastAsia="宋体" w:cs="宋体"/>
                <w:color w:val="auto"/>
                <w:sz w:val="32"/>
                <w:szCs w:val="32"/>
                <w:highlight w:val="none"/>
              </w:rPr>
            </w:pPr>
          </w:p>
        </w:tc>
        <w:tc>
          <w:tcPr>
            <w:tcW w:w="7995" w:type="dxa"/>
            <w:shd w:val="clear" w:color="auto" w:fill="auto"/>
            <w:noWrap w:val="0"/>
            <w:tcMar>
              <w:top w:w="75" w:type="dxa"/>
              <w:left w:w="150" w:type="dxa"/>
              <w:bottom w:w="75" w:type="dxa"/>
              <w:right w:w="150" w:type="dxa"/>
            </w:tcMar>
            <w:vAlign w:val="top"/>
          </w:tcPr>
          <w:p w14:paraId="5A55EEDE">
            <w:pPr>
              <w:pStyle w:val="38"/>
              <w:rPr>
                <w:rFonts w:hint="eastAsia" w:ascii="宋体" w:hAnsi="宋体" w:eastAsia="宋体" w:cs="宋体"/>
                <w:color w:val="auto"/>
                <w:sz w:val="32"/>
                <w:szCs w:val="32"/>
                <w:highlight w:val="none"/>
              </w:rPr>
            </w:pPr>
          </w:p>
        </w:tc>
      </w:tr>
      <w:tr w14:paraId="4FB62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855" w:hRule="atLeast"/>
        </w:trPr>
        <w:tc>
          <w:tcPr>
            <w:tcW w:w="5400" w:type="dxa"/>
            <w:shd w:val="clear" w:color="auto" w:fill="auto"/>
            <w:noWrap w:val="0"/>
            <w:tcMar>
              <w:top w:w="75" w:type="dxa"/>
              <w:left w:w="150" w:type="dxa"/>
              <w:bottom w:w="75" w:type="dxa"/>
              <w:right w:w="150" w:type="dxa"/>
            </w:tcMar>
            <w:vAlign w:val="top"/>
          </w:tcPr>
          <w:p w14:paraId="1DB2AD61">
            <w:pPr>
              <w:pStyle w:val="38"/>
              <w:wordWrap w:val="0"/>
              <w:jc w:val="right"/>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shd w:val="clear" w:color="auto" w:fill="FFFFFF"/>
              </w:rPr>
              <w:t xml:space="preserve">乙 </w:t>
            </w:r>
            <w:r>
              <w:rPr>
                <w:rFonts w:hint="eastAsia" w:ascii="宋体" w:hAnsi="宋体" w:eastAsia="宋体" w:cs="宋体"/>
                <w:color w:val="auto"/>
                <w:sz w:val="32"/>
                <w:szCs w:val="32"/>
                <w:highlight w:val="none"/>
                <w:shd w:val="clear" w:color="auto" w:fill="FFFFFF"/>
                <w:lang w:eastAsia="zh-CN"/>
              </w:rPr>
              <w:t xml:space="preserve"> </w:t>
            </w:r>
            <w:r>
              <w:rPr>
                <w:rFonts w:hint="eastAsia" w:ascii="宋体" w:hAnsi="宋体" w:eastAsia="宋体" w:cs="宋体"/>
                <w:color w:val="auto"/>
                <w:sz w:val="32"/>
                <w:szCs w:val="32"/>
                <w:highlight w:val="none"/>
                <w:shd w:val="clear" w:color="auto" w:fill="FFFFFF"/>
              </w:rPr>
              <w:t xml:space="preserve"> </w:t>
            </w:r>
            <w:r>
              <w:rPr>
                <w:rFonts w:hint="eastAsia" w:ascii="宋体" w:hAnsi="宋体" w:eastAsia="宋体" w:cs="宋体"/>
                <w:color w:val="auto"/>
                <w:sz w:val="32"/>
                <w:szCs w:val="32"/>
                <w:highlight w:val="none"/>
                <w:shd w:val="clear" w:color="auto" w:fill="FFFFFF"/>
                <w:lang w:eastAsia="zh-CN"/>
              </w:rPr>
              <w:t xml:space="preserve">  </w:t>
            </w:r>
            <w:r>
              <w:rPr>
                <w:rFonts w:hint="eastAsia" w:ascii="宋体" w:hAnsi="宋体" w:eastAsia="宋体" w:cs="宋体"/>
                <w:color w:val="auto"/>
                <w:sz w:val="32"/>
                <w:szCs w:val="32"/>
                <w:highlight w:val="none"/>
                <w:shd w:val="clear" w:color="auto" w:fill="FFFFFF"/>
              </w:rPr>
              <w:t xml:space="preserve"> 方：</w:t>
            </w:r>
          </w:p>
        </w:tc>
        <w:tc>
          <w:tcPr>
            <w:tcW w:w="7995" w:type="dxa"/>
            <w:shd w:val="clear" w:color="auto" w:fill="auto"/>
            <w:noWrap w:val="0"/>
            <w:tcMar>
              <w:top w:w="75" w:type="dxa"/>
              <w:left w:w="150" w:type="dxa"/>
              <w:bottom w:w="75" w:type="dxa"/>
              <w:right w:w="150" w:type="dxa"/>
            </w:tcMar>
            <w:vAlign w:val="top"/>
          </w:tcPr>
          <w:p w14:paraId="3E945043">
            <w:pPr>
              <w:pStyle w:val="38"/>
              <w:wordWrap w:val="0"/>
              <w:rPr>
                <w:rFonts w:hint="eastAsia" w:ascii="宋体" w:hAnsi="宋体" w:eastAsia="宋体" w:cs="宋体"/>
                <w:color w:val="auto"/>
                <w:sz w:val="32"/>
                <w:szCs w:val="32"/>
                <w:highlight w:val="none"/>
                <w:lang w:eastAsia="zh-CN"/>
              </w:rPr>
            </w:pPr>
            <w:r>
              <w:rPr>
                <w:rStyle w:val="52"/>
                <w:rFonts w:hint="eastAsia" w:ascii="宋体" w:hAnsi="宋体" w:eastAsia="宋体" w:cs="宋体"/>
                <w:color w:val="auto"/>
                <w:sz w:val="32"/>
                <w:szCs w:val="32"/>
                <w:highlight w:val="none"/>
                <w:u w:val="single"/>
                <w:shd w:val="clear" w:color="auto" w:fill="FFFFFF"/>
                <w:lang w:eastAsia="zh-CN"/>
              </w:rPr>
              <w:t xml:space="preserve">                   </w:t>
            </w:r>
          </w:p>
        </w:tc>
      </w:tr>
    </w:tbl>
    <w:p w14:paraId="2E6D8A20">
      <w:pPr>
        <w:spacing w:line="360" w:lineRule="auto"/>
        <w:ind w:left="420" w:leftChars="200"/>
        <w:rPr>
          <w:rFonts w:hint="eastAsia" w:ascii="宋体" w:hAnsi="宋体" w:eastAsia="宋体" w:cs="宋体"/>
          <w:color w:val="auto"/>
          <w:sz w:val="36"/>
          <w:szCs w:val="36"/>
          <w:highlight w:val="none"/>
          <w:lang w:eastAsia="zh-CN"/>
        </w:rPr>
      </w:pPr>
      <w:r>
        <w:rPr>
          <w:rFonts w:hint="eastAsia" w:ascii="宋体" w:hAnsi="宋体" w:eastAsia="宋体" w:cs="宋体"/>
          <w:color w:val="auto"/>
          <w:sz w:val="36"/>
          <w:szCs w:val="36"/>
          <w:highlight w:val="none"/>
          <w:lang w:eastAsia="zh-CN"/>
        </w:rPr>
        <w:br w:type="page"/>
      </w:r>
    </w:p>
    <w:tbl>
      <w:tblPr>
        <w:tblStyle w:val="42"/>
        <w:tblW w:w="0" w:type="auto"/>
        <w:jc w:val="center"/>
        <w:tblCellSpacing w:w="0" w:type="dxa"/>
        <w:tblLayout w:type="fixed"/>
        <w:tblCellMar>
          <w:top w:w="0" w:type="dxa"/>
          <w:left w:w="0" w:type="dxa"/>
          <w:bottom w:w="0" w:type="dxa"/>
          <w:right w:w="0" w:type="dxa"/>
        </w:tblCellMar>
      </w:tblPr>
      <w:tblGrid>
        <w:gridCol w:w="1600"/>
        <w:gridCol w:w="7811"/>
      </w:tblGrid>
      <w:tr w14:paraId="7B7336A4">
        <w:tblPrEx>
          <w:tblCellMar>
            <w:top w:w="0" w:type="dxa"/>
            <w:left w:w="0" w:type="dxa"/>
            <w:bottom w:w="0" w:type="dxa"/>
            <w:right w:w="0" w:type="dxa"/>
          </w:tblCellMar>
        </w:tblPrEx>
        <w:trPr>
          <w:tblCellSpacing w:w="0" w:type="dxa"/>
          <w:jc w:val="center"/>
        </w:trPr>
        <w:tc>
          <w:tcPr>
            <w:tcW w:w="9411" w:type="dxa"/>
            <w:gridSpan w:val="2"/>
            <w:noWrap w:val="0"/>
            <w:vAlign w:val="center"/>
          </w:tcPr>
          <w:p w14:paraId="3DEB15B6">
            <w:pPr>
              <w:spacing w:after="24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eastAsia="zh-CN"/>
              </w:rPr>
              <w:t>甲方（采购人公章）名称：</w:t>
            </w:r>
          </w:p>
        </w:tc>
      </w:tr>
      <w:tr w14:paraId="7C9FCF33">
        <w:tblPrEx>
          <w:tblCellMar>
            <w:top w:w="0" w:type="dxa"/>
            <w:left w:w="0" w:type="dxa"/>
            <w:bottom w:w="0" w:type="dxa"/>
            <w:right w:w="0" w:type="dxa"/>
          </w:tblCellMar>
        </w:tblPrEx>
        <w:trPr>
          <w:tblCellSpacing w:w="0" w:type="dxa"/>
          <w:jc w:val="center"/>
        </w:trPr>
        <w:tc>
          <w:tcPr>
            <w:tcW w:w="1600" w:type="dxa"/>
            <w:noWrap w:val="0"/>
            <w:vAlign w:val="center"/>
          </w:tcPr>
          <w:p w14:paraId="39ACF8CD">
            <w:pPr>
              <w:rPr>
                <w:rFonts w:hint="eastAsia" w:ascii="宋体" w:hAnsi="宋体" w:eastAsia="宋体" w:cs="宋体"/>
                <w:color w:val="auto"/>
                <w:sz w:val="24"/>
                <w:highlight w:val="none"/>
                <w:lang w:eastAsia="zh-CN"/>
              </w:rPr>
            </w:pPr>
          </w:p>
        </w:tc>
        <w:tc>
          <w:tcPr>
            <w:tcW w:w="7811" w:type="dxa"/>
            <w:noWrap w:val="0"/>
            <w:vAlign w:val="center"/>
          </w:tcPr>
          <w:p w14:paraId="29175BF2">
            <w:pPr>
              <w:spacing w:after="240"/>
              <w:rPr>
                <w:rFonts w:hint="eastAsia" w:ascii="宋体" w:hAnsi="宋体" w:eastAsia="宋体" w:cs="宋体"/>
                <w:color w:val="auto"/>
                <w:sz w:val="24"/>
                <w:highlight w:val="none"/>
              </w:rPr>
            </w:pPr>
            <w:r>
              <w:rPr>
                <w:rFonts w:hint="eastAsia" w:ascii="宋体" w:hAnsi="宋体" w:eastAsia="宋体" w:cs="宋体"/>
                <w:color w:val="auto"/>
                <w:sz w:val="24"/>
                <w:highlight w:val="none"/>
              </w:rPr>
              <w:t>地址：</w:t>
            </w:r>
          </w:p>
        </w:tc>
      </w:tr>
      <w:tr w14:paraId="74270F31">
        <w:tblPrEx>
          <w:tblCellMar>
            <w:top w:w="0" w:type="dxa"/>
            <w:left w:w="0" w:type="dxa"/>
            <w:bottom w:w="0" w:type="dxa"/>
            <w:right w:w="0" w:type="dxa"/>
          </w:tblCellMar>
        </w:tblPrEx>
        <w:trPr>
          <w:tblCellSpacing w:w="0" w:type="dxa"/>
          <w:jc w:val="center"/>
        </w:trPr>
        <w:tc>
          <w:tcPr>
            <w:tcW w:w="1600" w:type="dxa"/>
            <w:noWrap w:val="0"/>
            <w:vAlign w:val="center"/>
          </w:tcPr>
          <w:p w14:paraId="00073670">
            <w:pPr>
              <w:rPr>
                <w:rFonts w:hint="eastAsia" w:ascii="宋体" w:hAnsi="宋体" w:eastAsia="宋体" w:cs="宋体"/>
                <w:color w:val="auto"/>
                <w:sz w:val="24"/>
                <w:highlight w:val="none"/>
              </w:rPr>
            </w:pPr>
          </w:p>
        </w:tc>
        <w:tc>
          <w:tcPr>
            <w:tcW w:w="7811" w:type="dxa"/>
            <w:noWrap w:val="0"/>
            <w:vAlign w:val="center"/>
          </w:tcPr>
          <w:p w14:paraId="320BDB7C">
            <w:pPr>
              <w:spacing w:after="240"/>
              <w:rPr>
                <w:rFonts w:hint="eastAsia" w:ascii="宋体" w:hAnsi="宋体" w:eastAsia="宋体" w:cs="宋体"/>
                <w:color w:val="auto"/>
                <w:sz w:val="24"/>
                <w:highlight w:val="none"/>
              </w:rPr>
            </w:pPr>
            <w:r>
              <w:rPr>
                <w:rFonts w:hint="eastAsia" w:ascii="宋体" w:hAnsi="宋体" w:eastAsia="宋体" w:cs="宋体"/>
                <w:color w:val="auto"/>
                <w:sz w:val="24"/>
                <w:highlight w:val="none"/>
              </w:rPr>
              <w:t>邮编：</w:t>
            </w:r>
          </w:p>
        </w:tc>
      </w:tr>
      <w:tr w14:paraId="16D9F930">
        <w:tblPrEx>
          <w:tblCellMar>
            <w:top w:w="0" w:type="dxa"/>
            <w:left w:w="0" w:type="dxa"/>
            <w:bottom w:w="0" w:type="dxa"/>
            <w:right w:w="0" w:type="dxa"/>
          </w:tblCellMar>
        </w:tblPrEx>
        <w:trPr>
          <w:tblCellSpacing w:w="0" w:type="dxa"/>
          <w:jc w:val="center"/>
        </w:trPr>
        <w:tc>
          <w:tcPr>
            <w:tcW w:w="1600" w:type="dxa"/>
            <w:noWrap w:val="0"/>
            <w:vAlign w:val="center"/>
          </w:tcPr>
          <w:p w14:paraId="412A5F72">
            <w:pPr>
              <w:rPr>
                <w:rFonts w:hint="eastAsia" w:ascii="宋体" w:hAnsi="宋体" w:eastAsia="宋体" w:cs="宋体"/>
                <w:color w:val="auto"/>
                <w:sz w:val="24"/>
                <w:highlight w:val="none"/>
              </w:rPr>
            </w:pPr>
          </w:p>
        </w:tc>
        <w:tc>
          <w:tcPr>
            <w:tcW w:w="7811" w:type="dxa"/>
            <w:noWrap w:val="0"/>
            <w:vAlign w:val="center"/>
          </w:tcPr>
          <w:p w14:paraId="16A3F462">
            <w:pPr>
              <w:spacing w:after="240"/>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法定代表人或委托代理人：</w:t>
            </w:r>
          </w:p>
        </w:tc>
      </w:tr>
      <w:tr w14:paraId="088B752F">
        <w:tblPrEx>
          <w:tblCellMar>
            <w:top w:w="0" w:type="dxa"/>
            <w:left w:w="0" w:type="dxa"/>
            <w:bottom w:w="0" w:type="dxa"/>
            <w:right w:w="0" w:type="dxa"/>
          </w:tblCellMar>
        </w:tblPrEx>
        <w:trPr>
          <w:tblCellSpacing w:w="0" w:type="dxa"/>
          <w:jc w:val="center"/>
        </w:trPr>
        <w:tc>
          <w:tcPr>
            <w:tcW w:w="1600" w:type="dxa"/>
            <w:noWrap w:val="0"/>
            <w:vAlign w:val="center"/>
          </w:tcPr>
          <w:p w14:paraId="154FEFAC">
            <w:pPr>
              <w:rPr>
                <w:rFonts w:hint="eastAsia" w:ascii="宋体" w:hAnsi="宋体" w:eastAsia="宋体" w:cs="宋体"/>
                <w:color w:val="auto"/>
                <w:sz w:val="24"/>
                <w:highlight w:val="none"/>
              </w:rPr>
            </w:pPr>
          </w:p>
        </w:tc>
        <w:tc>
          <w:tcPr>
            <w:tcW w:w="7811" w:type="dxa"/>
            <w:noWrap w:val="0"/>
            <w:vAlign w:val="center"/>
          </w:tcPr>
          <w:p w14:paraId="1C9F7A49">
            <w:pPr>
              <w:spacing w:after="24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项目（技术）负责人：</w:t>
            </w:r>
          </w:p>
        </w:tc>
      </w:tr>
      <w:tr w14:paraId="32F149C3">
        <w:tblPrEx>
          <w:tblCellMar>
            <w:top w:w="0" w:type="dxa"/>
            <w:left w:w="0" w:type="dxa"/>
            <w:bottom w:w="0" w:type="dxa"/>
            <w:right w:w="0" w:type="dxa"/>
          </w:tblCellMar>
        </w:tblPrEx>
        <w:trPr>
          <w:tblCellSpacing w:w="0" w:type="dxa"/>
          <w:jc w:val="center"/>
        </w:trPr>
        <w:tc>
          <w:tcPr>
            <w:tcW w:w="1600" w:type="dxa"/>
            <w:noWrap w:val="0"/>
            <w:vAlign w:val="center"/>
          </w:tcPr>
          <w:p w14:paraId="551F35F8">
            <w:pPr>
              <w:rPr>
                <w:rFonts w:hint="eastAsia" w:ascii="宋体" w:hAnsi="宋体" w:eastAsia="宋体" w:cs="宋体"/>
                <w:color w:val="auto"/>
                <w:sz w:val="24"/>
                <w:highlight w:val="none"/>
                <w:lang w:eastAsia="zh-CN"/>
              </w:rPr>
            </w:pPr>
          </w:p>
        </w:tc>
        <w:tc>
          <w:tcPr>
            <w:tcW w:w="7811" w:type="dxa"/>
            <w:noWrap w:val="0"/>
            <w:vAlign w:val="center"/>
          </w:tcPr>
          <w:p w14:paraId="21F3FF40">
            <w:pPr>
              <w:spacing w:after="240"/>
              <w:rPr>
                <w:rFonts w:hint="eastAsia" w:ascii="宋体" w:hAnsi="宋体" w:eastAsia="宋体" w:cs="宋体"/>
                <w:color w:val="auto"/>
                <w:sz w:val="24"/>
                <w:highlight w:val="none"/>
              </w:rPr>
            </w:pPr>
            <w:r>
              <w:rPr>
                <w:rFonts w:hint="eastAsia" w:ascii="宋体" w:hAnsi="宋体" w:eastAsia="宋体" w:cs="宋体"/>
                <w:color w:val="auto"/>
                <w:sz w:val="24"/>
                <w:highlight w:val="none"/>
              </w:rPr>
              <w:t>电话：</w:t>
            </w:r>
          </w:p>
        </w:tc>
      </w:tr>
      <w:tr w14:paraId="4D131F7D">
        <w:tblPrEx>
          <w:tblCellMar>
            <w:top w:w="0" w:type="dxa"/>
            <w:left w:w="0" w:type="dxa"/>
            <w:bottom w:w="0" w:type="dxa"/>
            <w:right w:w="0" w:type="dxa"/>
          </w:tblCellMar>
        </w:tblPrEx>
        <w:trPr>
          <w:tblCellSpacing w:w="0" w:type="dxa"/>
          <w:jc w:val="center"/>
        </w:trPr>
        <w:tc>
          <w:tcPr>
            <w:tcW w:w="1600" w:type="dxa"/>
            <w:noWrap w:val="0"/>
            <w:vAlign w:val="center"/>
          </w:tcPr>
          <w:p w14:paraId="6657E532">
            <w:pPr>
              <w:rPr>
                <w:rFonts w:hint="eastAsia" w:ascii="宋体" w:hAnsi="宋体" w:eastAsia="宋体" w:cs="宋体"/>
                <w:color w:val="auto"/>
                <w:sz w:val="24"/>
                <w:highlight w:val="none"/>
              </w:rPr>
            </w:pPr>
          </w:p>
        </w:tc>
        <w:tc>
          <w:tcPr>
            <w:tcW w:w="7811" w:type="dxa"/>
            <w:noWrap w:val="0"/>
            <w:vAlign w:val="center"/>
          </w:tcPr>
          <w:p w14:paraId="11CE3377">
            <w:pPr>
              <w:spacing w:after="24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签订日期：</w:t>
            </w:r>
          </w:p>
          <w:p w14:paraId="72A977D1">
            <w:pPr>
              <w:pStyle w:val="153"/>
              <w:rPr>
                <w:rFonts w:hint="eastAsia" w:ascii="宋体" w:hAnsi="宋体" w:eastAsia="宋体" w:cs="宋体"/>
                <w:color w:val="auto"/>
                <w:highlight w:val="none"/>
              </w:rPr>
            </w:pPr>
          </w:p>
        </w:tc>
      </w:tr>
      <w:tr w14:paraId="3A062C66">
        <w:tblPrEx>
          <w:tblCellMar>
            <w:top w:w="0" w:type="dxa"/>
            <w:left w:w="0" w:type="dxa"/>
            <w:bottom w:w="0" w:type="dxa"/>
            <w:right w:w="0" w:type="dxa"/>
          </w:tblCellMar>
        </w:tblPrEx>
        <w:trPr>
          <w:tblCellSpacing w:w="0" w:type="dxa"/>
          <w:jc w:val="center"/>
        </w:trPr>
        <w:tc>
          <w:tcPr>
            <w:tcW w:w="9411" w:type="dxa"/>
            <w:gridSpan w:val="2"/>
            <w:noWrap w:val="0"/>
            <w:vAlign w:val="center"/>
          </w:tcPr>
          <w:p w14:paraId="1238B431">
            <w:pPr>
              <w:spacing w:after="24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乙方（投标人公章）名称：</w:t>
            </w:r>
          </w:p>
        </w:tc>
      </w:tr>
      <w:tr w14:paraId="692D7964">
        <w:tblPrEx>
          <w:tblCellMar>
            <w:top w:w="0" w:type="dxa"/>
            <w:left w:w="0" w:type="dxa"/>
            <w:bottom w:w="0" w:type="dxa"/>
            <w:right w:w="0" w:type="dxa"/>
          </w:tblCellMar>
        </w:tblPrEx>
        <w:trPr>
          <w:tblCellSpacing w:w="0" w:type="dxa"/>
          <w:jc w:val="center"/>
        </w:trPr>
        <w:tc>
          <w:tcPr>
            <w:tcW w:w="1600" w:type="dxa"/>
            <w:noWrap w:val="0"/>
            <w:vAlign w:val="center"/>
          </w:tcPr>
          <w:p w14:paraId="019CA73F">
            <w:pPr>
              <w:rPr>
                <w:rFonts w:hint="eastAsia" w:ascii="宋体" w:hAnsi="宋体" w:eastAsia="宋体" w:cs="宋体"/>
                <w:color w:val="auto"/>
                <w:sz w:val="24"/>
                <w:highlight w:val="none"/>
                <w:lang w:eastAsia="zh-CN"/>
              </w:rPr>
            </w:pPr>
          </w:p>
        </w:tc>
        <w:tc>
          <w:tcPr>
            <w:tcW w:w="7811" w:type="dxa"/>
            <w:noWrap w:val="0"/>
            <w:vAlign w:val="center"/>
          </w:tcPr>
          <w:p w14:paraId="2D347236">
            <w:pPr>
              <w:spacing w:after="240"/>
              <w:rPr>
                <w:rFonts w:hint="eastAsia" w:ascii="宋体" w:hAnsi="宋体" w:eastAsia="宋体" w:cs="宋体"/>
                <w:color w:val="auto"/>
                <w:sz w:val="24"/>
                <w:highlight w:val="none"/>
              </w:rPr>
            </w:pPr>
            <w:r>
              <w:rPr>
                <w:rFonts w:hint="eastAsia" w:ascii="宋体" w:hAnsi="宋体" w:eastAsia="宋体" w:cs="宋体"/>
                <w:color w:val="auto"/>
                <w:sz w:val="24"/>
                <w:highlight w:val="none"/>
              </w:rPr>
              <w:t>地址：</w:t>
            </w:r>
          </w:p>
        </w:tc>
      </w:tr>
      <w:tr w14:paraId="3073DA74">
        <w:tblPrEx>
          <w:tblCellMar>
            <w:top w:w="0" w:type="dxa"/>
            <w:left w:w="0" w:type="dxa"/>
            <w:bottom w:w="0" w:type="dxa"/>
            <w:right w:w="0" w:type="dxa"/>
          </w:tblCellMar>
        </w:tblPrEx>
        <w:trPr>
          <w:tblCellSpacing w:w="0" w:type="dxa"/>
          <w:jc w:val="center"/>
        </w:trPr>
        <w:tc>
          <w:tcPr>
            <w:tcW w:w="1600" w:type="dxa"/>
            <w:noWrap w:val="0"/>
            <w:vAlign w:val="center"/>
          </w:tcPr>
          <w:p w14:paraId="57AA998F">
            <w:pPr>
              <w:rPr>
                <w:rFonts w:hint="eastAsia" w:ascii="宋体" w:hAnsi="宋体" w:eastAsia="宋体" w:cs="宋体"/>
                <w:color w:val="auto"/>
                <w:sz w:val="24"/>
                <w:highlight w:val="none"/>
              </w:rPr>
            </w:pPr>
          </w:p>
        </w:tc>
        <w:tc>
          <w:tcPr>
            <w:tcW w:w="7811" w:type="dxa"/>
            <w:noWrap w:val="0"/>
            <w:vAlign w:val="center"/>
          </w:tcPr>
          <w:p w14:paraId="6872848E">
            <w:pPr>
              <w:spacing w:after="240"/>
              <w:rPr>
                <w:rFonts w:hint="eastAsia" w:ascii="宋体" w:hAnsi="宋体" w:eastAsia="宋体" w:cs="宋体"/>
                <w:color w:val="auto"/>
                <w:sz w:val="24"/>
                <w:highlight w:val="none"/>
              </w:rPr>
            </w:pPr>
            <w:r>
              <w:rPr>
                <w:rFonts w:hint="eastAsia" w:ascii="宋体" w:hAnsi="宋体" w:eastAsia="宋体" w:cs="宋体"/>
                <w:color w:val="auto"/>
                <w:sz w:val="24"/>
                <w:highlight w:val="none"/>
              </w:rPr>
              <w:t>邮编：</w:t>
            </w:r>
          </w:p>
        </w:tc>
      </w:tr>
      <w:tr w14:paraId="1E96CC24">
        <w:tblPrEx>
          <w:tblCellMar>
            <w:top w:w="0" w:type="dxa"/>
            <w:left w:w="0" w:type="dxa"/>
            <w:bottom w:w="0" w:type="dxa"/>
            <w:right w:w="0" w:type="dxa"/>
          </w:tblCellMar>
        </w:tblPrEx>
        <w:trPr>
          <w:tblCellSpacing w:w="0" w:type="dxa"/>
          <w:jc w:val="center"/>
        </w:trPr>
        <w:tc>
          <w:tcPr>
            <w:tcW w:w="1600" w:type="dxa"/>
            <w:noWrap w:val="0"/>
            <w:vAlign w:val="center"/>
          </w:tcPr>
          <w:p w14:paraId="40437786">
            <w:pPr>
              <w:rPr>
                <w:rFonts w:hint="eastAsia" w:ascii="宋体" w:hAnsi="宋体" w:eastAsia="宋体" w:cs="宋体"/>
                <w:color w:val="auto"/>
                <w:sz w:val="24"/>
                <w:highlight w:val="none"/>
              </w:rPr>
            </w:pPr>
          </w:p>
        </w:tc>
        <w:tc>
          <w:tcPr>
            <w:tcW w:w="7811" w:type="dxa"/>
            <w:noWrap w:val="0"/>
            <w:vAlign w:val="center"/>
          </w:tcPr>
          <w:p w14:paraId="5EE4317F">
            <w:pPr>
              <w:spacing w:after="240"/>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法定代表人或委托代理人：</w:t>
            </w:r>
          </w:p>
        </w:tc>
      </w:tr>
      <w:tr w14:paraId="3FD8CBC6">
        <w:tblPrEx>
          <w:tblCellMar>
            <w:top w:w="0" w:type="dxa"/>
            <w:left w:w="0" w:type="dxa"/>
            <w:bottom w:w="0" w:type="dxa"/>
            <w:right w:w="0" w:type="dxa"/>
          </w:tblCellMar>
        </w:tblPrEx>
        <w:trPr>
          <w:tblCellSpacing w:w="0" w:type="dxa"/>
          <w:jc w:val="center"/>
        </w:trPr>
        <w:tc>
          <w:tcPr>
            <w:tcW w:w="1600" w:type="dxa"/>
            <w:noWrap w:val="0"/>
            <w:vAlign w:val="center"/>
          </w:tcPr>
          <w:p w14:paraId="3446B6F5">
            <w:pPr>
              <w:rPr>
                <w:rFonts w:hint="eastAsia" w:ascii="宋体" w:hAnsi="宋体" w:eastAsia="宋体" w:cs="宋体"/>
                <w:color w:val="auto"/>
                <w:sz w:val="24"/>
                <w:highlight w:val="none"/>
              </w:rPr>
            </w:pPr>
          </w:p>
        </w:tc>
        <w:tc>
          <w:tcPr>
            <w:tcW w:w="7811" w:type="dxa"/>
            <w:noWrap w:val="0"/>
            <w:vAlign w:val="center"/>
          </w:tcPr>
          <w:p w14:paraId="1D2F87C5">
            <w:pPr>
              <w:spacing w:after="240"/>
              <w:rPr>
                <w:rFonts w:hint="eastAsia" w:ascii="宋体" w:hAnsi="宋体" w:eastAsia="宋体" w:cs="宋体"/>
                <w:color w:val="auto"/>
                <w:sz w:val="24"/>
                <w:highlight w:val="none"/>
              </w:rPr>
            </w:pPr>
            <w:r>
              <w:rPr>
                <w:rFonts w:hint="eastAsia" w:ascii="宋体" w:hAnsi="宋体" w:eastAsia="宋体" w:cs="宋体"/>
                <w:color w:val="auto"/>
                <w:sz w:val="24"/>
                <w:highlight w:val="none"/>
              </w:rPr>
              <w:t>经办人：</w:t>
            </w:r>
          </w:p>
        </w:tc>
      </w:tr>
      <w:tr w14:paraId="7B4B04F8">
        <w:tblPrEx>
          <w:tblCellMar>
            <w:top w:w="0" w:type="dxa"/>
            <w:left w:w="0" w:type="dxa"/>
            <w:bottom w:w="0" w:type="dxa"/>
            <w:right w:w="0" w:type="dxa"/>
          </w:tblCellMar>
        </w:tblPrEx>
        <w:trPr>
          <w:tblCellSpacing w:w="0" w:type="dxa"/>
          <w:jc w:val="center"/>
        </w:trPr>
        <w:tc>
          <w:tcPr>
            <w:tcW w:w="1600" w:type="dxa"/>
            <w:noWrap w:val="0"/>
            <w:vAlign w:val="center"/>
          </w:tcPr>
          <w:p w14:paraId="56838A34">
            <w:pPr>
              <w:rPr>
                <w:rFonts w:hint="eastAsia" w:ascii="宋体" w:hAnsi="宋体" w:eastAsia="宋体" w:cs="宋体"/>
                <w:color w:val="auto"/>
                <w:sz w:val="24"/>
                <w:highlight w:val="none"/>
              </w:rPr>
            </w:pPr>
          </w:p>
        </w:tc>
        <w:tc>
          <w:tcPr>
            <w:tcW w:w="7811" w:type="dxa"/>
            <w:noWrap w:val="0"/>
            <w:vAlign w:val="center"/>
          </w:tcPr>
          <w:p w14:paraId="7314AAC5">
            <w:pPr>
              <w:spacing w:after="240"/>
              <w:rPr>
                <w:rFonts w:hint="eastAsia" w:ascii="宋体" w:hAnsi="宋体" w:eastAsia="宋体" w:cs="宋体"/>
                <w:color w:val="auto"/>
                <w:sz w:val="24"/>
                <w:highlight w:val="none"/>
              </w:rPr>
            </w:pPr>
            <w:r>
              <w:rPr>
                <w:rFonts w:hint="eastAsia" w:ascii="宋体" w:hAnsi="宋体" w:eastAsia="宋体" w:cs="宋体"/>
                <w:color w:val="auto"/>
                <w:sz w:val="24"/>
                <w:highlight w:val="none"/>
              </w:rPr>
              <w:t>电话：</w:t>
            </w:r>
          </w:p>
        </w:tc>
      </w:tr>
      <w:tr w14:paraId="6AA8CE79">
        <w:tblPrEx>
          <w:tblCellMar>
            <w:top w:w="0" w:type="dxa"/>
            <w:left w:w="0" w:type="dxa"/>
            <w:bottom w:w="0" w:type="dxa"/>
            <w:right w:w="0" w:type="dxa"/>
          </w:tblCellMar>
        </w:tblPrEx>
        <w:trPr>
          <w:tblCellSpacing w:w="0" w:type="dxa"/>
          <w:jc w:val="center"/>
        </w:trPr>
        <w:tc>
          <w:tcPr>
            <w:tcW w:w="1600" w:type="dxa"/>
            <w:noWrap w:val="0"/>
            <w:vAlign w:val="center"/>
          </w:tcPr>
          <w:p w14:paraId="235F8539">
            <w:pPr>
              <w:rPr>
                <w:rFonts w:hint="eastAsia" w:ascii="宋体" w:hAnsi="宋体" w:eastAsia="宋体" w:cs="宋体"/>
                <w:color w:val="auto"/>
                <w:sz w:val="24"/>
                <w:highlight w:val="none"/>
              </w:rPr>
            </w:pPr>
          </w:p>
        </w:tc>
        <w:tc>
          <w:tcPr>
            <w:tcW w:w="7811" w:type="dxa"/>
            <w:noWrap w:val="0"/>
            <w:vAlign w:val="center"/>
          </w:tcPr>
          <w:p w14:paraId="6B03ED21">
            <w:pPr>
              <w:spacing w:after="240"/>
              <w:rPr>
                <w:rFonts w:hint="eastAsia" w:ascii="宋体" w:hAnsi="宋体" w:eastAsia="宋体" w:cs="宋体"/>
                <w:color w:val="auto"/>
                <w:sz w:val="24"/>
                <w:highlight w:val="none"/>
              </w:rPr>
            </w:pPr>
            <w:r>
              <w:rPr>
                <w:rFonts w:hint="eastAsia" w:ascii="宋体" w:hAnsi="宋体" w:eastAsia="宋体" w:cs="宋体"/>
                <w:color w:val="auto"/>
                <w:sz w:val="24"/>
                <w:highlight w:val="none"/>
              </w:rPr>
              <w:t>签订日期：</w:t>
            </w:r>
          </w:p>
        </w:tc>
      </w:tr>
    </w:tbl>
    <w:p w14:paraId="7C640442">
      <w:pPr>
        <w:spacing w:line="360" w:lineRule="auto"/>
        <w:ind w:firstLine="474" w:firstLineChars="225"/>
        <w:rPr>
          <w:rFonts w:hint="eastAsia" w:ascii="宋体" w:hAnsi="宋体" w:eastAsia="宋体" w:cs="宋体"/>
          <w:b/>
          <w:color w:val="auto"/>
          <w:highlight w:val="none"/>
        </w:rPr>
      </w:pPr>
      <w:r>
        <w:rPr>
          <w:rFonts w:hint="eastAsia" w:ascii="宋体" w:hAnsi="宋体" w:eastAsia="宋体" w:cs="宋体"/>
          <w:b/>
          <w:color w:val="auto"/>
          <w:highlight w:val="none"/>
        </w:rPr>
        <w:br w:type="page"/>
      </w:r>
      <w:r>
        <w:rPr>
          <w:rFonts w:hint="eastAsia" w:ascii="宋体" w:hAnsi="宋体" w:eastAsia="宋体" w:cs="宋体"/>
          <w:b/>
          <w:color w:val="auto"/>
          <w:highlight w:val="none"/>
          <w:lang w:val="en-US" w:eastAsia="zh-CN"/>
        </w:rPr>
        <w:t>甲方（采购人）​</w:t>
      </w:r>
    </w:p>
    <w:p w14:paraId="12A4F26C">
      <w:pPr>
        <w:spacing w:line="360" w:lineRule="auto"/>
        <w:ind w:firstLine="474" w:firstLineChars="225"/>
        <w:rPr>
          <w:rFonts w:hint="eastAsia" w:ascii="宋体" w:hAnsi="宋体" w:eastAsia="宋体" w:cs="宋体"/>
          <w:b/>
          <w:color w:val="auto"/>
          <w:highlight w:val="none"/>
        </w:rPr>
      </w:pPr>
      <w:r>
        <w:rPr>
          <w:rFonts w:hint="eastAsia" w:ascii="宋体" w:hAnsi="宋体" w:eastAsia="宋体" w:cs="宋体"/>
          <w:b/>
          <w:color w:val="auto"/>
          <w:highlight w:val="none"/>
          <w:lang w:val="en-US" w:eastAsia="zh-CN"/>
        </w:rPr>
        <w:t>名 称：【甲方完整单位名称】​</w:t>
      </w:r>
    </w:p>
    <w:p w14:paraId="14C6E1B6">
      <w:pPr>
        <w:spacing w:line="360" w:lineRule="auto"/>
        <w:ind w:firstLine="474" w:firstLineChars="225"/>
        <w:rPr>
          <w:rFonts w:hint="eastAsia" w:ascii="宋体" w:hAnsi="宋体" w:eastAsia="宋体" w:cs="宋体"/>
          <w:b/>
          <w:color w:val="auto"/>
          <w:highlight w:val="none"/>
        </w:rPr>
      </w:pPr>
      <w:r>
        <w:rPr>
          <w:rFonts w:hint="eastAsia" w:ascii="宋体" w:hAnsi="宋体" w:eastAsia="宋体" w:cs="宋体"/>
          <w:b/>
          <w:color w:val="auto"/>
          <w:highlight w:val="none"/>
          <w:lang w:val="en-US" w:eastAsia="zh-CN"/>
        </w:rPr>
        <w:t>统一社会信用代码：【甲方信用代码】​</w:t>
      </w:r>
    </w:p>
    <w:p w14:paraId="3D5A0DEA">
      <w:pPr>
        <w:spacing w:line="360" w:lineRule="auto"/>
        <w:ind w:firstLine="474" w:firstLineChars="225"/>
        <w:rPr>
          <w:rFonts w:hint="eastAsia" w:ascii="宋体" w:hAnsi="宋体" w:eastAsia="宋体" w:cs="宋体"/>
          <w:b/>
          <w:color w:val="auto"/>
          <w:highlight w:val="none"/>
        </w:rPr>
      </w:pPr>
      <w:r>
        <w:rPr>
          <w:rFonts w:hint="eastAsia" w:ascii="宋体" w:hAnsi="宋体" w:eastAsia="宋体" w:cs="宋体"/>
          <w:b/>
          <w:color w:val="auto"/>
          <w:highlight w:val="none"/>
          <w:lang w:val="en-US" w:eastAsia="zh-CN"/>
        </w:rPr>
        <w:t>地 址：【甲方详细地址】​</w:t>
      </w:r>
    </w:p>
    <w:p w14:paraId="1F109427">
      <w:pPr>
        <w:spacing w:line="360" w:lineRule="auto"/>
        <w:ind w:firstLine="474" w:firstLineChars="225"/>
        <w:rPr>
          <w:rFonts w:hint="eastAsia" w:ascii="宋体" w:hAnsi="宋体" w:eastAsia="宋体" w:cs="宋体"/>
          <w:b/>
          <w:color w:val="auto"/>
          <w:highlight w:val="none"/>
        </w:rPr>
      </w:pPr>
      <w:r>
        <w:rPr>
          <w:rFonts w:hint="eastAsia" w:ascii="宋体" w:hAnsi="宋体" w:eastAsia="宋体" w:cs="宋体"/>
          <w:b/>
          <w:color w:val="auto"/>
          <w:highlight w:val="none"/>
          <w:lang w:val="en-US" w:eastAsia="zh-CN"/>
        </w:rPr>
        <w:t>乙方（中标人）​</w:t>
      </w:r>
    </w:p>
    <w:p w14:paraId="6EB21122">
      <w:pPr>
        <w:spacing w:line="360" w:lineRule="auto"/>
        <w:ind w:firstLine="474" w:firstLineChars="225"/>
        <w:rPr>
          <w:rFonts w:hint="eastAsia" w:ascii="宋体" w:hAnsi="宋体" w:eastAsia="宋体" w:cs="宋体"/>
          <w:b/>
          <w:color w:val="auto"/>
          <w:highlight w:val="none"/>
        </w:rPr>
      </w:pPr>
      <w:r>
        <w:rPr>
          <w:rFonts w:hint="eastAsia" w:ascii="宋体" w:hAnsi="宋体" w:eastAsia="宋体" w:cs="宋体"/>
          <w:b/>
          <w:color w:val="auto"/>
          <w:highlight w:val="none"/>
          <w:lang w:val="en-US" w:eastAsia="zh-CN"/>
        </w:rPr>
        <w:t>名 称：【乙方完整企业名称】​</w:t>
      </w:r>
    </w:p>
    <w:p w14:paraId="67B128C2">
      <w:pPr>
        <w:spacing w:line="360" w:lineRule="auto"/>
        <w:ind w:firstLine="474" w:firstLineChars="225"/>
        <w:rPr>
          <w:rFonts w:hint="eastAsia" w:ascii="宋体" w:hAnsi="宋体" w:eastAsia="宋体" w:cs="宋体"/>
          <w:b/>
          <w:color w:val="auto"/>
          <w:highlight w:val="none"/>
        </w:rPr>
      </w:pPr>
      <w:r>
        <w:rPr>
          <w:rFonts w:hint="eastAsia" w:ascii="宋体" w:hAnsi="宋体" w:eastAsia="宋体" w:cs="宋体"/>
          <w:b/>
          <w:color w:val="auto"/>
          <w:highlight w:val="none"/>
          <w:lang w:val="en-US" w:eastAsia="zh-CN"/>
        </w:rPr>
        <w:t>统一社会信用代码：【乙方信用代码】​</w:t>
      </w:r>
    </w:p>
    <w:p w14:paraId="21766174">
      <w:pPr>
        <w:spacing w:line="360" w:lineRule="auto"/>
        <w:ind w:firstLine="474" w:firstLineChars="225"/>
        <w:rPr>
          <w:rFonts w:hint="eastAsia" w:ascii="宋体" w:hAnsi="宋体" w:eastAsia="宋体" w:cs="宋体"/>
          <w:b/>
          <w:color w:val="auto"/>
          <w:highlight w:val="none"/>
        </w:rPr>
      </w:pPr>
      <w:r>
        <w:rPr>
          <w:rFonts w:hint="eastAsia" w:ascii="宋体" w:hAnsi="宋体" w:eastAsia="宋体" w:cs="宋体"/>
          <w:b/>
          <w:color w:val="auto"/>
          <w:highlight w:val="none"/>
          <w:lang w:val="en-US" w:eastAsia="zh-CN"/>
        </w:rPr>
        <w:t>地 址：【乙方详细地址】​</w:t>
      </w:r>
    </w:p>
    <w:p w14:paraId="4D800365">
      <w:pPr>
        <w:keepNext w:val="0"/>
        <w:keepLines w:val="0"/>
        <w:pageBreakBefore w:val="0"/>
        <w:kinsoku/>
        <w:wordWrap/>
        <w:overflowPunct/>
        <w:topLinePunct w:val="0"/>
        <w:autoSpaceDE/>
        <w:autoSpaceDN/>
        <w:bidi w:val="0"/>
        <w:adjustRightInd/>
        <w:snapToGrid/>
        <w:spacing w:line="360" w:lineRule="auto"/>
        <w:ind w:firstLine="474" w:firstLineChars="225"/>
        <w:textAlignment w:val="auto"/>
        <w:rPr>
          <w:rFonts w:hint="eastAsia" w:ascii="宋体" w:hAnsi="宋体" w:eastAsia="宋体" w:cs="宋体"/>
          <w:b/>
          <w:color w:val="auto"/>
          <w:highlight w:val="none"/>
        </w:rPr>
      </w:pPr>
    </w:p>
    <w:p w14:paraId="21CD218C">
      <w:pPr>
        <w:keepNext w:val="0"/>
        <w:keepLines w:val="0"/>
        <w:pageBreakBefore w:val="0"/>
        <w:kinsoku/>
        <w:wordWrap/>
        <w:overflowPunct/>
        <w:topLinePunct w:val="0"/>
        <w:autoSpaceDE/>
        <w:autoSpaceDN/>
        <w:bidi w:val="0"/>
        <w:adjustRightInd/>
        <w:snapToGrid/>
        <w:spacing w:line="360" w:lineRule="auto"/>
        <w:ind w:firstLine="540" w:firstLineChars="225"/>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依据《中华人民共和国民法典》《中华人民共和国政府采购法》，</w:t>
      </w:r>
      <w:r>
        <w:rPr>
          <w:rFonts w:hint="eastAsia" w:ascii="宋体" w:hAnsi="宋体" w:eastAsia="宋体" w:cs="宋体"/>
          <w:color w:val="auto"/>
          <w:sz w:val="24"/>
          <w:highlight w:val="none"/>
        </w:rPr>
        <w:t>甲乙双方根据</w:t>
      </w:r>
      <w:r>
        <w:rPr>
          <w:rFonts w:hint="eastAsia" w:ascii="宋体" w:hAnsi="宋体" w:eastAsia="宋体" w:cs="宋体"/>
          <w:color w:val="auto"/>
          <w:sz w:val="24"/>
          <w:highlight w:val="none"/>
          <w:lang w:eastAsia="zh-CN"/>
        </w:rPr>
        <w:t>项目编号</w:t>
      </w:r>
      <w:r>
        <w:rPr>
          <w:rFonts w:hint="eastAsia" w:ascii="宋体" w:hAnsi="宋体" w:eastAsia="宋体" w:cs="宋体"/>
          <w:color w:val="auto"/>
          <w:sz w:val="24"/>
          <w:highlight w:val="none"/>
        </w:rPr>
        <w:t>为</w:t>
      </w:r>
      <w:r>
        <w:rPr>
          <w:rFonts w:hint="eastAsia" w:ascii="宋体" w:hAnsi="宋体" w:eastAsia="宋体" w:cs="宋体"/>
          <w:color w:val="auto"/>
          <w:sz w:val="24"/>
          <w:highlight w:val="none"/>
          <w:u w:val="single"/>
        </w:rPr>
        <w:t>（</w:t>
      </w:r>
      <w:r>
        <w:rPr>
          <w:rFonts w:hint="eastAsia" w:ascii="宋体" w:hAnsi="宋体" w:eastAsia="宋体" w:cs="宋体"/>
          <w:color w:val="auto"/>
          <w:sz w:val="24"/>
          <w:highlight w:val="none"/>
          <w:u w:val="single"/>
          <w:lang w:val="en-US" w:eastAsia="zh-CN"/>
        </w:rPr>
        <w:t>项目</w:t>
      </w:r>
      <w:r>
        <w:rPr>
          <w:rFonts w:hint="eastAsia" w:ascii="宋体" w:hAnsi="宋体" w:eastAsia="宋体" w:cs="宋体"/>
          <w:color w:val="auto"/>
          <w:sz w:val="24"/>
          <w:highlight w:val="none"/>
          <w:u w:val="single"/>
        </w:rPr>
        <w:t>编号）</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（采购项目名称）</w:t>
      </w:r>
      <w:r>
        <w:rPr>
          <w:rFonts w:hint="eastAsia" w:ascii="宋体" w:hAnsi="宋体" w:eastAsia="宋体" w:cs="宋体"/>
          <w:color w:val="auto"/>
          <w:sz w:val="24"/>
          <w:highlight w:val="none"/>
        </w:rPr>
        <w:t>”公开招标采购结果，经双方协定达成一致，就甲方采购乙方本项目事宜达成如下协议：</w:t>
      </w:r>
    </w:p>
    <w:p w14:paraId="5E49968C">
      <w:pPr>
        <w:pStyle w:val="158"/>
        <w:keepNext w:val="0"/>
        <w:keepLines w:val="0"/>
        <w:pageBreakBefore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第一条  采购项目概况</w:t>
      </w:r>
    </w:p>
    <w:p w14:paraId="7725F406">
      <w:pPr>
        <w:pStyle w:val="159"/>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1.1项目名称</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p>
    <w:p w14:paraId="3C90866B">
      <w:pPr>
        <w:pStyle w:val="159"/>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采购内容</w:t>
      </w:r>
    </w:p>
    <w:p w14:paraId="203597BA">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乙方应向甲方提供以下产品及服务：</w:t>
      </w:r>
    </w:p>
    <w:tbl>
      <w:tblPr>
        <w:tblStyle w:val="42"/>
        <w:tblW w:w="77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7"/>
        <w:gridCol w:w="791"/>
        <w:gridCol w:w="872"/>
        <w:gridCol w:w="1650"/>
        <w:gridCol w:w="1500"/>
        <w:gridCol w:w="1078"/>
      </w:tblGrid>
      <w:tr w14:paraId="7E3A8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857" w:type="dxa"/>
            <w:noWrap w:val="0"/>
            <w:vAlign w:val="center"/>
          </w:tcPr>
          <w:p w14:paraId="7A80AFF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r>
              <w:rPr>
                <w:rFonts w:hint="eastAsia" w:ascii="宋体" w:hAnsi="宋体" w:eastAsia="宋体" w:cs="宋体"/>
                <w:b/>
                <w:bCs/>
                <w:i w:val="0"/>
                <w:iCs w:val="0"/>
                <w:caps w:val="0"/>
                <w:color w:val="auto"/>
                <w:spacing w:val="0"/>
                <w:kern w:val="0"/>
                <w:sz w:val="24"/>
                <w:szCs w:val="24"/>
                <w:highlight w:val="none"/>
                <w:lang w:val="en-US" w:eastAsia="zh-CN" w:bidi="ar"/>
              </w:rPr>
              <w:t>采购标的</w:t>
            </w:r>
          </w:p>
        </w:tc>
        <w:tc>
          <w:tcPr>
            <w:tcW w:w="791" w:type="dxa"/>
            <w:noWrap w:val="0"/>
            <w:vAlign w:val="center"/>
          </w:tcPr>
          <w:p w14:paraId="4F4AE93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r>
              <w:rPr>
                <w:rFonts w:hint="eastAsia" w:ascii="宋体" w:hAnsi="宋体" w:eastAsia="宋体" w:cs="宋体"/>
                <w:b/>
                <w:bCs/>
                <w:i w:val="0"/>
                <w:iCs w:val="0"/>
                <w:caps w:val="0"/>
                <w:color w:val="auto"/>
                <w:spacing w:val="0"/>
                <w:kern w:val="0"/>
                <w:sz w:val="24"/>
                <w:szCs w:val="24"/>
                <w:highlight w:val="none"/>
                <w:lang w:val="en-US" w:eastAsia="zh-CN" w:bidi="ar"/>
              </w:rPr>
              <w:t>数量</w:t>
            </w:r>
          </w:p>
        </w:tc>
        <w:tc>
          <w:tcPr>
            <w:tcW w:w="872" w:type="dxa"/>
            <w:noWrap w:val="0"/>
            <w:vAlign w:val="center"/>
          </w:tcPr>
          <w:p w14:paraId="305BE7C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r>
              <w:rPr>
                <w:rFonts w:hint="eastAsia" w:ascii="宋体" w:hAnsi="宋体" w:eastAsia="宋体" w:cs="宋体"/>
                <w:b/>
                <w:bCs/>
                <w:i w:val="0"/>
                <w:iCs w:val="0"/>
                <w:caps w:val="0"/>
                <w:color w:val="auto"/>
                <w:spacing w:val="0"/>
                <w:kern w:val="0"/>
                <w:sz w:val="24"/>
                <w:szCs w:val="24"/>
                <w:highlight w:val="none"/>
                <w:lang w:val="en-US" w:eastAsia="zh-CN" w:bidi="ar"/>
              </w:rPr>
              <w:t>单位</w:t>
            </w:r>
          </w:p>
        </w:tc>
        <w:tc>
          <w:tcPr>
            <w:tcW w:w="1650" w:type="dxa"/>
            <w:noWrap w:val="0"/>
            <w:vAlign w:val="center"/>
          </w:tcPr>
          <w:p w14:paraId="5CD33EE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i w:val="0"/>
                <w:iCs w:val="0"/>
                <w:caps w:val="0"/>
                <w:color w:val="auto"/>
                <w:spacing w:val="0"/>
                <w:kern w:val="0"/>
                <w:sz w:val="24"/>
                <w:szCs w:val="24"/>
                <w:highlight w:val="none"/>
                <w:lang w:val="en-US" w:eastAsia="zh-CN" w:bidi="ar"/>
              </w:rPr>
            </w:pPr>
            <w:r>
              <w:rPr>
                <w:rFonts w:hint="eastAsia" w:ascii="宋体" w:hAnsi="宋体" w:eastAsia="宋体" w:cs="宋体"/>
                <w:b/>
                <w:bCs/>
                <w:i w:val="0"/>
                <w:iCs w:val="0"/>
                <w:caps w:val="0"/>
                <w:color w:val="auto"/>
                <w:spacing w:val="0"/>
                <w:kern w:val="0"/>
                <w:sz w:val="24"/>
                <w:szCs w:val="24"/>
                <w:highlight w:val="none"/>
                <w:lang w:val="en-US" w:eastAsia="zh-CN" w:bidi="ar"/>
              </w:rPr>
              <w:t>单价（元）</w:t>
            </w:r>
          </w:p>
        </w:tc>
        <w:tc>
          <w:tcPr>
            <w:tcW w:w="1500" w:type="dxa"/>
            <w:noWrap w:val="0"/>
            <w:vAlign w:val="center"/>
          </w:tcPr>
          <w:p w14:paraId="39D9EB2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i w:val="0"/>
                <w:iCs w:val="0"/>
                <w:caps w:val="0"/>
                <w:color w:val="auto"/>
                <w:spacing w:val="0"/>
                <w:kern w:val="0"/>
                <w:sz w:val="24"/>
                <w:szCs w:val="24"/>
                <w:highlight w:val="none"/>
                <w:lang w:val="en-US" w:eastAsia="zh-CN" w:bidi="ar"/>
              </w:rPr>
            </w:pPr>
            <w:r>
              <w:rPr>
                <w:rFonts w:hint="eastAsia" w:ascii="宋体" w:hAnsi="宋体" w:eastAsia="宋体" w:cs="宋体"/>
                <w:b/>
                <w:bCs/>
                <w:i w:val="0"/>
                <w:iCs w:val="0"/>
                <w:caps w:val="0"/>
                <w:color w:val="auto"/>
                <w:spacing w:val="0"/>
                <w:kern w:val="0"/>
                <w:sz w:val="24"/>
                <w:szCs w:val="24"/>
                <w:highlight w:val="none"/>
                <w:lang w:val="en-US" w:eastAsia="zh-CN" w:bidi="ar"/>
              </w:rPr>
              <w:t>合价（元）</w:t>
            </w:r>
          </w:p>
        </w:tc>
        <w:tc>
          <w:tcPr>
            <w:tcW w:w="1078" w:type="dxa"/>
            <w:noWrap w:val="0"/>
            <w:vAlign w:val="center"/>
          </w:tcPr>
          <w:p w14:paraId="2FA06B7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r>
              <w:rPr>
                <w:rFonts w:hint="eastAsia" w:ascii="宋体" w:hAnsi="宋体" w:eastAsia="宋体" w:cs="宋体"/>
                <w:b/>
                <w:bCs/>
                <w:i w:val="0"/>
                <w:iCs w:val="0"/>
                <w:caps w:val="0"/>
                <w:color w:val="auto"/>
                <w:spacing w:val="0"/>
                <w:kern w:val="0"/>
                <w:sz w:val="24"/>
                <w:szCs w:val="24"/>
                <w:highlight w:val="none"/>
                <w:lang w:val="en-US" w:eastAsia="zh-CN" w:bidi="ar"/>
              </w:rPr>
              <w:t>备注</w:t>
            </w:r>
          </w:p>
        </w:tc>
      </w:tr>
      <w:tr w14:paraId="46C71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857" w:type="dxa"/>
            <w:noWrap w:val="0"/>
            <w:vAlign w:val="center"/>
          </w:tcPr>
          <w:p w14:paraId="3A15BAC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c>
          <w:tcPr>
            <w:tcW w:w="791" w:type="dxa"/>
            <w:noWrap w:val="0"/>
            <w:vAlign w:val="center"/>
          </w:tcPr>
          <w:p w14:paraId="51DEEAD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c>
          <w:tcPr>
            <w:tcW w:w="872" w:type="dxa"/>
            <w:noWrap w:val="0"/>
            <w:vAlign w:val="center"/>
          </w:tcPr>
          <w:p w14:paraId="06B51B4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c>
          <w:tcPr>
            <w:tcW w:w="1650" w:type="dxa"/>
            <w:noWrap w:val="0"/>
            <w:vAlign w:val="center"/>
          </w:tcPr>
          <w:p w14:paraId="6E51C62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i w:val="0"/>
                <w:iCs w:val="0"/>
                <w:caps w:val="0"/>
                <w:color w:val="auto"/>
                <w:spacing w:val="0"/>
                <w:kern w:val="0"/>
                <w:sz w:val="24"/>
                <w:szCs w:val="24"/>
                <w:highlight w:val="none"/>
                <w:lang w:val="en-US" w:eastAsia="zh-CN" w:bidi="ar"/>
              </w:rPr>
            </w:pPr>
          </w:p>
        </w:tc>
        <w:tc>
          <w:tcPr>
            <w:tcW w:w="1500" w:type="dxa"/>
            <w:noWrap w:val="0"/>
            <w:vAlign w:val="center"/>
          </w:tcPr>
          <w:p w14:paraId="3E3E37A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i w:val="0"/>
                <w:iCs w:val="0"/>
                <w:caps w:val="0"/>
                <w:color w:val="auto"/>
                <w:spacing w:val="0"/>
                <w:kern w:val="0"/>
                <w:sz w:val="24"/>
                <w:szCs w:val="24"/>
                <w:highlight w:val="none"/>
                <w:lang w:val="en-US" w:eastAsia="zh-CN" w:bidi="ar"/>
              </w:rPr>
            </w:pPr>
          </w:p>
        </w:tc>
        <w:tc>
          <w:tcPr>
            <w:tcW w:w="1078" w:type="dxa"/>
            <w:noWrap w:val="0"/>
            <w:vAlign w:val="center"/>
          </w:tcPr>
          <w:p w14:paraId="6438D11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r>
      <w:tr w14:paraId="29DB7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857" w:type="dxa"/>
            <w:noWrap w:val="0"/>
            <w:vAlign w:val="center"/>
          </w:tcPr>
          <w:p w14:paraId="730E737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c>
          <w:tcPr>
            <w:tcW w:w="791" w:type="dxa"/>
            <w:noWrap w:val="0"/>
            <w:vAlign w:val="center"/>
          </w:tcPr>
          <w:p w14:paraId="12ED225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c>
          <w:tcPr>
            <w:tcW w:w="872" w:type="dxa"/>
            <w:noWrap w:val="0"/>
            <w:vAlign w:val="center"/>
          </w:tcPr>
          <w:p w14:paraId="20B5E24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c>
          <w:tcPr>
            <w:tcW w:w="1650" w:type="dxa"/>
            <w:noWrap w:val="0"/>
            <w:vAlign w:val="center"/>
          </w:tcPr>
          <w:p w14:paraId="3A590B9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i w:val="0"/>
                <w:iCs w:val="0"/>
                <w:caps w:val="0"/>
                <w:color w:val="auto"/>
                <w:spacing w:val="0"/>
                <w:kern w:val="0"/>
                <w:sz w:val="24"/>
                <w:szCs w:val="24"/>
                <w:highlight w:val="none"/>
                <w:lang w:val="en-US" w:eastAsia="zh-CN" w:bidi="ar"/>
              </w:rPr>
            </w:pPr>
          </w:p>
        </w:tc>
        <w:tc>
          <w:tcPr>
            <w:tcW w:w="1500" w:type="dxa"/>
            <w:noWrap w:val="0"/>
            <w:vAlign w:val="center"/>
          </w:tcPr>
          <w:p w14:paraId="695CD83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i w:val="0"/>
                <w:iCs w:val="0"/>
                <w:caps w:val="0"/>
                <w:color w:val="auto"/>
                <w:spacing w:val="0"/>
                <w:kern w:val="0"/>
                <w:sz w:val="24"/>
                <w:szCs w:val="24"/>
                <w:highlight w:val="none"/>
                <w:lang w:val="en-US" w:eastAsia="zh-CN" w:bidi="ar"/>
              </w:rPr>
            </w:pPr>
          </w:p>
        </w:tc>
        <w:tc>
          <w:tcPr>
            <w:tcW w:w="1078" w:type="dxa"/>
            <w:noWrap w:val="0"/>
            <w:vAlign w:val="center"/>
          </w:tcPr>
          <w:p w14:paraId="548C8BF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r>
      <w:tr w14:paraId="7227C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857" w:type="dxa"/>
            <w:noWrap w:val="0"/>
            <w:vAlign w:val="center"/>
          </w:tcPr>
          <w:p w14:paraId="3F46933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c>
          <w:tcPr>
            <w:tcW w:w="791" w:type="dxa"/>
            <w:noWrap w:val="0"/>
            <w:vAlign w:val="center"/>
          </w:tcPr>
          <w:p w14:paraId="6A6D69B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c>
          <w:tcPr>
            <w:tcW w:w="872" w:type="dxa"/>
            <w:noWrap w:val="0"/>
            <w:vAlign w:val="center"/>
          </w:tcPr>
          <w:p w14:paraId="09E015F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c>
          <w:tcPr>
            <w:tcW w:w="1650" w:type="dxa"/>
            <w:noWrap w:val="0"/>
            <w:vAlign w:val="center"/>
          </w:tcPr>
          <w:p w14:paraId="30EC6AD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i w:val="0"/>
                <w:iCs w:val="0"/>
                <w:caps w:val="0"/>
                <w:color w:val="auto"/>
                <w:spacing w:val="0"/>
                <w:kern w:val="0"/>
                <w:sz w:val="24"/>
                <w:szCs w:val="24"/>
                <w:highlight w:val="none"/>
                <w:lang w:val="en-US" w:eastAsia="zh-CN" w:bidi="ar"/>
              </w:rPr>
            </w:pPr>
          </w:p>
        </w:tc>
        <w:tc>
          <w:tcPr>
            <w:tcW w:w="1500" w:type="dxa"/>
            <w:noWrap w:val="0"/>
            <w:vAlign w:val="center"/>
          </w:tcPr>
          <w:p w14:paraId="0F37F11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i w:val="0"/>
                <w:iCs w:val="0"/>
                <w:caps w:val="0"/>
                <w:color w:val="auto"/>
                <w:spacing w:val="0"/>
                <w:kern w:val="0"/>
                <w:sz w:val="24"/>
                <w:szCs w:val="24"/>
                <w:highlight w:val="none"/>
                <w:lang w:val="en-US" w:eastAsia="zh-CN" w:bidi="ar"/>
              </w:rPr>
            </w:pPr>
          </w:p>
        </w:tc>
        <w:tc>
          <w:tcPr>
            <w:tcW w:w="1078" w:type="dxa"/>
            <w:noWrap w:val="0"/>
            <w:vAlign w:val="center"/>
          </w:tcPr>
          <w:p w14:paraId="659AE34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r>
      <w:tr w14:paraId="005D8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857" w:type="dxa"/>
            <w:noWrap w:val="0"/>
            <w:vAlign w:val="center"/>
          </w:tcPr>
          <w:p w14:paraId="4570183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c>
          <w:tcPr>
            <w:tcW w:w="791" w:type="dxa"/>
            <w:noWrap w:val="0"/>
            <w:vAlign w:val="center"/>
          </w:tcPr>
          <w:p w14:paraId="2352B9A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c>
          <w:tcPr>
            <w:tcW w:w="872" w:type="dxa"/>
            <w:noWrap w:val="0"/>
            <w:vAlign w:val="center"/>
          </w:tcPr>
          <w:p w14:paraId="5C00256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c>
          <w:tcPr>
            <w:tcW w:w="1650" w:type="dxa"/>
            <w:noWrap w:val="0"/>
            <w:vAlign w:val="center"/>
          </w:tcPr>
          <w:p w14:paraId="2A352FD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i w:val="0"/>
                <w:iCs w:val="0"/>
                <w:caps w:val="0"/>
                <w:color w:val="auto"/>
                <w:spacing w:val="0"/>
                <w:kern w:val="0"/>
                <w:sz w:val="24"/>
                <w:szCs w:val="24"/>
                <w:highlight w:val="none"/>
                <w:lang w:val="en-US" w:eastAsia="zh-CN" w:bidi="ar"/>
              </w:rPr>
            </w:pPr>
          </w:p>
        </w:tc>
        <w:tc>
          <w:tcPr>
            <w:tcW w:w="1500" w:type="dxa"/>
            <w:noWrap w:val="0"/>
            <w:vAlign w:val="center"/>
          </w:tcPr>
          <w:p w14:paraId="7AB1826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i w:val="0"/>
                <w:iCs w:val="0"/>
                <w:caps w:val="0"/>
                <w:color w:val="auto"/>
                <w:spacing w:val="0"/>
                <w:kern w:val="0"/>
                <w:sz w:val="24"/>
                <w:szCs w:val="24"/>
                <w:highlight w:val="none"/>
                <w:lang w:val="en-US" w:eastAsia="zh-CN" w:bidi="ar"/>
              </w:rPr>
            </w:pPr>
          </w:p>
        </w:tc>
        <w:tc>
          <w:tcPr>
            <w:tcW w:w="1078" w:type="dxa"/>
            <w:noWrap w:val="0"/>
            <w:vAlign w:val="center"/>
          </w:tcPr>
          <w:p w14:paraId="401EEDF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r>
      <w:tr w14:paraId="45409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857" w:type="dxa"/>
            <w:noWrap w:val="0"/>
            <w:vAlign w:val="center"/>
          </w:tcPr>
          <w:p w14:paraId="2C163DA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c>
          <w:tcPr>
            <w:tcW w:w="791" w:type="dxa"/>
            <w:noWrap w:val="0"/>
            <w:vAlign w:val="center"/>
          </w:tcPr>
          <w:p w14:paraId="2B0C25E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c>
          <w:tcPr>
            <w:tcW w:w="872" w:type="dxa"/>
            <w:noWrap w:val="0"/>
            <w:vAlign w:val="center"/>
          </w:tcPr>
          <w:p w14:paraId="2A77913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c>
          <w:tcPr>
            <w:tcW w:w="1650" w:type="dxa"/>
            <w:noWrap w:val="0"/>
            <w:vAlign w:val="center"/>
          </w:tcPr>
          <w:p w14:paraId="4CFB22A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i w:val="0"/>
                <w:iCs w:val="0"/>
                <w:caps w:val="0"/>
                <w:color w:val="auto"/>
                <w:spacing w:val="0"/>
                <w:kern w:val="0"/>
                <w:sz w:val="24"/>
                <w:szCs w:val="24"/>
                <w:highlight w:val="none"/>
                <w:lang w:val="en-US" w:eastAsia="zh-CN" w:bidi="ar"/>
              </w:rPr>
            </w:pPr>
          </w:p>
        </w:tc>
        <w:tc>
          <w:tcPr>
            <w:tcW w:w="1500" w:type="dxa"/>
            <w:noWrap w:val="0"/>
            <w:vAlign w:val="center"/>
          </w:tcPr>
          <w:p w14:paraId="7D960A7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i w:val="0"/>
                <w:iCs w:val="0"/>
                <w:caps w:val="0"/>
                <w:color w:val="auto"/>
                <w:spacing w:val="0"/>
                <w:kern w:val="0"/>
                <w:sz w:val="24"/>
                <w:szCs w:val="24"/>
                <w:highlight w:val="none"/>
                <w:lang w:val="en-US" w:eastAsia="zh-CN" w:bidi="ar"/>
              </w:rPr>
            </w:pPr>
          </w:p>
        </w:tc>
        <w:tc>
          <w:tcPr>
            <w:tcW w:w="1078" w:type="dxa"/>
            <w:noWrap w:val="0"/>
            <w:vAlign w:val="center"/>
          </w:tcPr>
          <w:p w14:paraId="1D8CFD5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r>
      <w:tr w14:paraId="0A58F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857" w:type="dxa"/>
            <w:noWrap w:val="0"/>
            <w:vAlign w:val="center"/>
          </w:tcPr>
          <w:p w14:paraId="3F1654A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c>
          <w:tcPr>
            <w:tcW w:w="791" w:type="dxa"/>
            <w:noWrap w:val="0"/>
            <w:vAlign w:val="center"/>
          </w:tcPr>
          <w:p w14:paraId="0F2407B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c>
          <w:tcPr>
            <w:tcW w:w="872" w:type="dxa"/>
            <w:noWrap w:val="0"/>
            <w:vAlign w:val="center"/>
          </w:tcPr>
          <w:p w14:paraId="296DD7E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c>
          <w:tcPr>
            <w:tcW w:w="1650" w:type="dxa"/>
            <w:noWrap w:val="0"/>
            <w:vAlign w:val="center"/>
          </w:tcPr>
          <w:p w14:paraId="7E0FD2C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i w:val="0"/>
                <w:iCs w:val="0"/>
                <w:caps w:val="0"/>
                <w:color w:val="auto"/>
                <w:spacing w:val="0"/>
                <w:kern w:val="0"/>
                <w:sz w:val="24"/>
                <w:szCs w:val="24"/>
                <w:highlight w:val="none"/>
                <w:lang w:val="en-US" w:eastAsia="zh-CN" w:bidi="ar"/>
              </w:rPr>
            </w:pPr>
          </w:p>
        </w:tc>
        <w:tc>
          <w:tcPr>
            <w:tcW w:w="1500" w:type="dxa"/>
            <w:noWrap w:val="0"/>
            <w:vAlign w:val="center"/>
          </w:tcPr>
          <w:p w14:paraId="696C7BA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i w:val="0"/>
                <w:iCs w:val="0"/>
                <w:caps w:val="0"/>
                <w:color w:val="auto"/>
                <w:spacing w:val="0"/>
                <w:kern w:val="0"/>
                <w:sz w:val="24"/>
                <w:szCs w:val="24"/>
                <w:highlight w:val="none"/>
                <w:lang w:val="en-US" w:eastAsia="zh-CN" w:bidi="ar"/>
              </w:rPr>
            </w:pPr>
          </w:p>
        </w:tc>
        <w:tc>
          <w:tcPr>
            <w:tcW w:w="1078" w:type="dxa"/>
            <w:noWrap w:val="0"/>
            <w:vAlign w:val="center"/>
          </w:tcPr>
          <w:p w14:paraId="3010EB2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r>
      <w:tr w14:paraId="109E4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857" w:type="dxa"/>
            <w:noWrap w:val="0"/>
            <w:vAlign w:val="center"/>
          </w:tcPr>
          <w:p w14:paraId="69B35B0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c>
          <w:tcPr>
            <w:tcW w:w="791" w:type="dxa"/>
            <w:noWrap w:val="0"/>
            <w:vAlign w:val="center"/>
          </w:tcPr>
          <w:p w14:paraId="76C62FB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c>
          <w:tcPr>
            <w:tcW w:w="872" w:type="dxa"/>
            <w:noWrap w:val="0"/>
            <w:vAlign w:val="center"/>
          </w:tcPr>
          <w:p w14:paraId="1BA74B69">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c>
          <w:tcPr>
            <w:tcW w:w="1650" w:type="dxa"/>
            <w:noWrap w:val="0"/>
            <w:vAlign w:val="center"/>
          </w:tcPr>
          <w:p w14:paraId="6320C9A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i w:val="0"/>
                <w:iCs w:val="0"/>
                <w:caps w:val="0"/>
                <w:color w:val="auto"/>
                <w:spacing w:val="0"/>
                <w:kern w:val="0"/>
                <w:sz w:val="24"/>
                <w:szCs w:val="24"/>
                <w:highlight w:val="none"/>
                <w:lang w:val="en-US" w:eastAsia="zh-CN" w:bidi="ar"/>
              </w:rPr>
            </w:pPr>
          </w:p>
        </w:tc>
        <w:tc>
          <w:tcPr>
            <w:tcW w:w="1500" w:type="dxa"/>
            <w:noWrap w:val="0"/>
            <w:vAlign w:val="center"/>
          </w:tcPr>
          <w:p w14:paraId="063320C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i w:val="0"/>
                <w:iCs w:val="0"/>
                <w:caps w:val="0"/>
                <w:color w:val="auto"/>
                <w:spacing w:val="0"/>
                <w:kern w:val="0"/>
                <w:sz w:val="24"/>
                <w:szCs w:val="24"/>
                <w:highlight w:val="none"/>
                <w:lang w:val="en-US" w:eastAsia="zh-CN" w:bidi="ar"/>
              </w:rPr>
            </w:pPr>
          </w:p>
        </w:tc>
        <w:tc>
          <w:tcPr>
            <w:tcW w:w="1078" w:type="dxa"/>
            <w:noWrap w:val="0"/>
            <w:vAlign w:val="center"/>
          </w:tcPr>
          <w:p w14:paraId="52E559F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vertAlign w:val="baseline"/>
              </w:rPr>
            </w:pPr>
          </w:p>
        </w:tc>
      </w:tr>
    </w:tbl>
    <w:p w14:paraId="5B9E2C29">
      <w:pPr>
        <w:pStyle w:val="159"/>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技术要求</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b w:val="0"/>
          <w:bCs/>
          <w:color w:val="auto"/>
          <w:sz w:val="24"/>
          <w:szCs w:val="24"/>
          <w:highlight w:val="none"/>
          <w:u w:val="none"/>
          <w:lang w:val="en-US" w:eastAsia="zh-CN"/>
        </w:rPr>
        <w:t>。</w:t>
      </w:r>
    </w:p>
    <w:p w14:paraId="346A1308">
      <w:pPr>
        <w:pStyle w:val="158"/>
        <w:keepNext w:val="0"/>
        <w:keepLines w:val="0"/>
        <w:pageBreakBefore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第二条  合同金额</w:t>
      </w:r>
    </w:p>
    <w:p w14:paraId="7402E797">
      <w:pPr>
        <w:pStyle w:val="159"/>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 合同总价</w:t>
      </w:r>
    </w:p>
    <w:p w14:paraId="749B911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本合同总金额为人民币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元（大写：</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元整）。此价格为固定总价，包含</w:t>
      </w:r>
      <w:r>
        <w:rPr>
          <w:rFonts w:hint="eastAsia" w:ascii="宋体" w:hAnsi="宋体" w:eastAsia="宋体" w:cs="宋体"/>
          <w:color w:val="auto"/>
          <w:sz w:val="24"/>
          <w:highlight w:val="none"/>
        </w:rPr>
        <w:t>劳务费</w:t>
      </w:r>
      <w:r>
        <w:rPr>
          <w:rFonts w:hint="eastAsia" w:ascii="宋体" w:hAnsi="宋体" w:eastAsia="宋体" w:cs="宋体"/>
          <w:color w:val="auto"/>
          <w:sz w:val="24"/>
          <w:highlight w:val="none"/>
          <w:lang w:eastAsia="zh-CN"/>
        </w:rPr>
        <w:t>、</w:t>
      </w:r>
      <w:r>
        <w:rPr>
          <w:rFonts w:hint="eastAsia" w:ascii="宋体" w:hAnsi="宋体" w:eastAsia="宋体" w:cs="宋体"/>
          <w:color w:val="auto"/>
          <w:sz w:val="24"/>
          <w:szCs w:val="24"/>
          <w:highlight w:val="none"/>
        </w:rPr>
        <w:t>设备费、软件费、服务费、运输费、安装调试费、培训费、税费等乙方完成本合同约定全部义务所需的一切费用。</w:t>
      </w:r>
    </w:p>
    <w:p w14:paraId="31DA196F">
      <w:pPr>
        <w:pStyle w:val="159"/>
        <w:keepNext w:val="0"/>
        <w:keepLines w:val="0"/>
        <w:pageBreakBefore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 价格构成</w:t>
      </w:r>
    </w:p>
    <w:p w14:paraId="009BA62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合同总价包括但不限于：</w:t>
      </w:r>
    </w:p>
    <w:p w14:paraId="04820DF6">
      <w:pPr>
        <w:pStyle w:val="160"/>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28B09EF0">
      <w:pPr>
        <w:pStyle w:val="160"/>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106AFAD9">
      <w:pPr>
        <w:pStyle w:val="160"/>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3AC266AE">
      <w:pPr>
        <w:pStyle w:val="160"/>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18BBC292">
      <w:pPr>
        <w:pStyle w:val="160"/>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6607AC5F">
      <w:pPr>
        <w:pStyle w:val="160"/>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4E16F2CB">
      <w:pPr>
        <w:pStyle w:val="158"/>
        <w:keepNext w:val="0"/>
        <w:keepLines w:val="0"/>
        <w:pageBreakBefore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第三条  付款方式</w:t>
      </w:r>
    </w:p>
    <w:p w14:paraId="5B277045">
      <w:pPr>
        <w:pStyle w:val="159"/>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 付款原则</w:t>
      </w:r>
    </w:p>
    <w:p w14:paraId="257D5057">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甲方应按照本合同约定的付款条件和时间节点向乙方支付合同款项。</w:t>
      </w:r>
    </w:p>
    <w:p w14:paraId="4E4B44C8">
      <w:pPr>
        <w:pStyle w:val="159"/>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 付款方式及时间</w:t>
      </w:r>
    </w:p>
    <w:p w14:paraId="692374F5">
      <w:pPr>
        <w:pStyle w:val="159"/>
        <w:keepNext w:val="0"/>
        <w:keepLines w:val="0"/>
        <w:pageBreakBefore w:val="0"/>
        <w:kinsoku/>
        <w:wordWrap/>
        <w:overflowPunct/>
        <w:topLinePunct w:val="0"/>
        <w:autoSpaceDE/>
        <w:autoSpaceDN/>
        <w:bidi w:val="0"/>
        <w:adjustRightInd/>
        <w:snapToGrid/>
        <w:spacing w:before="0" w:after="0" w:line="360" w:lineRule="auto"/>
        <w:ind w:firstLine="480" w:firstLineChars="200"/>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（1）预付款：合同签订生效且收到供应商提供的有效发票后，支付合同总金额的30%。</w:t>
      </w:r>
    </w:p>
    <w:p w14:paraId="4F53F2C8">
      <w:pPr>
        <w:pStyle w:val="159"/>
        <w:keepNext w:val="0"/>
        <w:keepLines w:val="0"/>
        <w:pageBreakBefore w:val="0"/>
        <w:kinsoku/>
        <w:wordWrap/>
        <w:overflowPunct/>
        <w:topLinePunct w:val="0"/>
        <w:autoSpaceDE/>
        <w:autoSpaceDN/>
        <w:bidi w:val="0"/>
        <w:adjustRightInd/>
        <w:snapToGrid/>
        <w:spacing w:before="0" w:after="0" w:line="360" w:lineRule="auto"/>
        <w:ind w:firstLine="480" w:firstLineChars="200"/>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（2）验收款：项目设备安装调试完毕，通过最终验收（含压力测试及功能验证），且收到有效发票后10个工作日内支付合同总金额的70%。</w:t>
      </w:r>
    </w:p>
    <w:p w14:paraId="3C397FAE">
      <w:pPr>
        <w:pStyle w:val="159"/>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 付款方式</w:t>
      </w:r>
    </w:p>
    <w:p w14:paraId="628463C7">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color w:val="auto"/>
          <w:sz w:val="24"/>
          <w:szCs w:val="24"/>
          <w:highlight w:val="none"/>
        </w:rPr>
        <w:t>甲方通过银行转账方式向乙方支付款项</w:t>
      </w:r>
      <w:r>
        <w:rPr>
          <w:rFonts w:hint="eastAsia" w:ascii="宋体" w:hAnsi="宋体" w:eastAsia="宋体" w:cs="宋体"/>
          <w:color w:val="auto"/>
          <w:sz w:val="24"/>
          <w:szCs w:val="24"/>
          <w:highlight w:val="none"/>
          <w:lang w:eastAsia="zh-CN"/>
        </w:rPr>
        <w:t>，</w:t>
      </w:r>
      <w:r>
        <w:rPr>
          <w:rFonts w:hint="eastAsia" w:ascii="宋体" w:hAnsi="宋体" w:eastAsia="宋体" w:cs="宋体"/>
          <w:b w:val="0"/>
          <w:bCs/>
          <w:color w:val="auto"/>
          <w:sz w:val="24"/>
          <w:szCs w:val="24"/>
          <w:highlight w:val="none"/>
          <w:lang w:val="en-US" w:eastAsia="zh-CN"/>
        </w:rPr>
        <w:t>乙方收款账户：​</w:t>
      </w:r>
    </w:p>
    <w:p w14:paraId="68617CC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开户行：【乙方银行名称】​</w:t>
      </w:r>
    </w:p>
    <w:p w14:paraId="0668BD3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账 号：【乙方银行账号】​</w:t>
      </w:r>
    </w:p>
    <w:p w14:paraId="7CD8D48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户 名：【乙方企业名称】​</w:t>
      </w:r>
    </w:p>
    <w:p w14:paraId="646553BC">
      <w:pPr>
        <w:pStyle w:val="158"/>
        <w:keepNext w:val="0"/>
        <w:keepLines w:val="0"/>
        <w:pageBreakBefore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第四条  交付时间和地点</w:t>
      </w:r>
    </w:p>
    <w:p w14:paraId="39918EE8">
      <w:pPr>
        <w:pStyle w:val="159"/>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 交付时间</w:t>
      </w:r>
    </w:p>
    <w:p w14:paraId="3DD39D2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乙方应在合同签订之日起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个日历天内完成</w:t>
      </w:r>
      <w:r>
        <w:rPr>
          <w:rFonts w:hint="eastAsia" w:ascii="宋体" w:hAnsi="宋体" w:eastAsia="宋体" w:cs="宋体"/>
          <w:color w:val="auto"/>
          <w:sz w:val="24"/>
          <w:szCs w:val="24"/>
          <w:highlight w:val="none"/>
          <w:lang w:val="en-US" w:eastAsia="zh-CN"/>
        </w:rPr>
        <w:t>并交付</w:t>
      </w:r>
      <w:r>
        <w:rPr>
          <w:rFonts w:hint="eastAsia" w:ascii="宋体" w:hAnsi="宋体" w:eastAsia="宋体" w:cs="宋体"/>
          <w:color w:val="auto"/>
          <w:sz w:val="24"/>
          <w:szCs w:val="24"/>
          <w:highlight w:val="none"/>
        </w:rPr>
        <w:t>验收。</w:t>
      </w:r>
    </w:p>
    <w:p w14:paraId="60750B9D">
      <w:pPr>
        <w:pStyle w:val="159"/>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4.2 交付地点</w:t>
      </w:r>
    </w:p>
    <w:p w14:paraId="694C4B7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交付及</w:t>
      </w:r>
      <w:r>
        <w:rPr>
          <w:rFonts w:hint="eastAsia" w:ascii="宋体" w:hAnsi="宋体" w:eastAsia="宋体" w:cs="宋体"/>
          <w:color w:val="auto"/>
          <w:sz w:val="24"/>
          <w:szCs w:val="24"/>
          <w:highlight w:val="none"/>
        </w:rPr>
        <w:t>实施地点：</w:t>
      </w:r>
      <w:r>
        <w:rPr>
          <w:rFonts w:hint="eastAsia" w:ascii="宋体" w:hAnsi="宋体" w:eastAsia="宋体" w:cs="宋体"/>
          <w:color w:val="auto"/>
          <w:sz w:val="24"/>
          <w:szCs w:val="24"/>
          <w:highlight w:val="none"/>
          <w:lang w:val="en-US" w:eastAsia="zh-CN"/>
        </w:rPr>
        <w:t>采购人指定地点</w:t>
      </w:r>
      <w:r>
        <w:rPr>
          <w:rFonts w:hint="eastAsia" w:ascii="宋体" w:hAnsi="宋体" w:eastAsia="宋体" w:cs="宋体"/>
          <w:color w:val="auto"/>
          <w:sz w:val="24"/>
          <w:szCs w:val="24"/>
          <w:highlight w:val="none"/>
        </w:rPr>
        <w:t>。</w:t>
      </w:r>
    </w:p>
    <w:p w14:paraId="3171BA05">
      <w:pPr>
        <w:pStyle w:val="159"/>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4.3 交付方式</w:t>
      </w:r>
    </w:p>
    <w:p w14:paraId="39B41C2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现场交付</w:t>
      </w:r>
      <w:r>
        <w:rPr>
          <w:rFonts w:hint="eastAsia" w:ascii="宋体" w:hAnsi="宋体" w:eastAsia="宋体" w:cs="宋体"/>
          <w:color w:val="auto"/>
          <w:sz w:val="24"/>
          <w:szCs w:val="24"/>
          <w:highlight w:val="none"/>
        </w:rPr>
        <w:t>。</w:t>
      </w:r>
    </w:p>
    <w:p w14:paraId="2035BD30">
      <w:pPr>
        <w:pStyle w:val="158"/>
        <w:keepNext w:val="0"/>
        <w:keepLines w:val="0"/>
        <w:pageBreakBefore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第五条  验收标准和程序</w:t>
      </w:r>
    </w:p>
    <w:p w14:paraId="61FA769B">
      <w:pPr>
        <w:pStyle w:val="159"/>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 验收标准</w:t>
      </w:r>
    </w:p>
    <w:p w14:paraId="15BB02B1">
      <w:pPr>
        <w:pStyle w:val="160"/>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（一）资料验收</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w:t>
      </w:r>
    </w:p>
    <w:p w14:paraId="3F77F4E2">
      <w:pPr>
        <w:pStyle w:val="160"/>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（二）成果验收</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w:t>
      </w:r>
    </w:p>
    <w:p w14:paraId="12138CBE">
      <w:pPr>
        <w:pStyle w:val="160"/>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（三）使用效果验收</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w:t>
      </w:r>
    </w:p>
    <w:p w14:paraId="74B6F4F5">
      <w:pPr>
        <w:pStyle w:val="159"/>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5.2 验收程序</w:t>
      </w:r>
    </w:p>
    <w:p w14:paraId="55A30D74">
      <w:pPr>
        <w:pStyle w:val="160"/>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w:t>
      </w:r>
      <w:r>
        <w:rPr>
          <w:rFonts w:hint="eastAsia" w:ascii="宋体" w:hAnsi="宋体" w:eastAsia="宋体" w:cs="宋体"/>
          <w:color w:val="auto"/>
          <w:sz w:val="24"/>
          <w:szCs w:val="24"/>
          <w:highlight w:val="none"/>
          <w:lang w:val="en-US" w:eastAsia="zh-CN"/>
        </w:rPr>
        <w:t>提出初验及终验</w:t>
      </w:r>
      <w:r>
        <w:rPr>
          <w:rFonts w:hint="eastAsia" w:ascii="宋体" w:hAnsi="宋体" w:eastAsia="宋体" w:cs="宋体"/>
          <w:color w:val="auto"/>
          <w:sz w:val="24"/>
          <w:szCs w:val="24"/>
          <w:highlight w:val="none"/>
        </w:rPr>
        <w:t>后，提交</w:t>
      </w:r>
      <w:r>
        <w:rPr>
          <w:rFonts w:hint="eastAsia" w:ascii="宋体" w:hAnsi="宋体" w:eastAsia="宋体" w:cs="宋体"/>
          <w:color w:val="auto"/>
          <w:sz w:val="24"/>
          <w:szCs w:val="24"/>
          <w:highlight w:val="none"/>
          <w:lang w:val="en-US" w:eastAsia="zh-CN"/>
        </w:rPr>
        <w:t>相关</w:t>
      </w:r>
      <w:r>
        <w:rPr>
          <w:rFonts w:hint="eastAsia" w:ascii="宋体" w:hAnsi="宋体" w:eastAsia="宋体" w:cs="宋体"/>
          <w:color w:val="auto"/>
          <w:sz w:val="24"/>
          <w:szCs w:val="24"/>
          <w:highlight w:val="none"/>
        </w:rPr>
        <w:t>验收申请及相关</w:t>
      </w:r>
      <w:r>
        <w:rPr>
          <w:rFonts w:hint="eastAsia" w:ascii="宋体" w:hAnsi="宋体" w:eastAsia="宋体" w:cs="宋体"/>
          <w:color w:val="auto"/>
          <w:sz w:val="24"/>
          <w:szCs w:val="24"/>
          <w:highlight w:val="none"/>
          <w:lang w:val="en-US" w:eastAsia="zh-CN"/>
        </w:rPr>
        <w:t>验收</w:t>
      </w:r>
      <w:r>
        <w:rPr>
          <w:rFonts w:hint="eastAsia" w:ascii="宋体" w:hAnsi="宋体" w:eastAsia="宋体" w:cs="宋体"/>
          <w:color w:val="auto"/>
          <w:sz w:val="24"/>
          <w:szCs w:val="24"/>
          <w:highlight w:val="none"/>
        </w:rPr>
        <w:t>资料；</w:t>
      </w:r>
    </w:p>
    <w:p w14:paraId="7EDCA4D0">
      <w:pPr>
        <w:pStyle w:val="160"/>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（2）甲方组织专家进行现场测试与核查；</w:t>
      </w:r>
    </w:p>
    <w:p w14:paraId="4C63A63F">
      <w:pPr>
        <w:pStyle w:val="160"/>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（3）全部指标达标后，签署</w:t>
      </w:r>
      <w:r>
        <w:rPr>
          <w:rFonts w:hint="eastAsia" w:ascii="宋体" w:hAnsi="宋体" w:eastAsia="宋体" w:cs="宋体"/>
          <w:color w:val="auto"/>
          <w:sz w:val="24"/>
          <w:szCs w:val="24"/>
          <w:highlight w:val="none"/>
          <w:lang w:val="en-US" w:eastAsia="zh-CN"/>
        </w:rPr>
        <w:t>分阶段验收及</w:t>
      </w:r>
      <w:r>
        <w:rPr>
          <w:rFonts w:hint="eastAsia" w:ascii="宋体" w:hAnsi="宋体" w:eastAsia="宋体" w:cs="宋体"/>
          <w:color w:val="auto"/>
          <w:sz w:val="24"/>
          <w:szCs w:val="24"/>
          <w:highlight w:val="none"/>
        </w:rPr>
        <w:t>最终验收报告；</w:t>
      </w:r>
    </w:p>
    <w:p w14:paraId="0EBD33BB">
      <w:pPr>
        <w:pStyle w:val="160"/>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（4）若存在问题，乙方应在10个日历天内整改完毕，重新验收。</w:t>
      </w:r>
    </w:p>
    <w:p w14:paraId="2B0D9D76">
      <w:pPr>
        <w:pStyle w:val="158"/>
        <w:keepNext w:val="0"/>
        <w:keepLines w:val="0"/>
        <w:pageBreakBefore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第六条  质量保证和售后服务</w:t>
      </w:r>
    </w:p>
    <w:p w14:paraId="3B7813FC">
      <w:pPr>
        <w:pStyle w:val="159"/>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 xml:space="preserve">6.1 </w:t>
      </w:r>
      <w:r>
        <w:rPr>
          <w:rFonts w:hint="eastAsia" w:ascii="宋体" w:hAnsi="宋体" w:eastAsia="宋体" w:cs="宋体"/>
          <w:color w:val="auto"/>
          <w:sz w:val="24"/>
          <w:szCs w:val="24"/>
          <w:highlight w:val="none"/>
          <w:lang w:val="en-US" w:eastAsia="zh-CN"/>
        </w:rPr>
        <w:t>服务标准</w:t>
      </w:r>
    </w:p>
    <w:p w14:paraId="73BB425E">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u w:val="single"/>
          <w:lang w:val="en-US" w:eastAsia="zh-CN"/>
        </w:rPr>
        <w:t xml:space="preserve">                     </w:t>
      </w:r>
      <w:r>
        <w:rPr>
          <w:rFonts w:hint="eastAsia" w:ascii="宋体" w:hAnsi="宋体" w:cs="宋体"/>
          <w:b/>
          <w:bCs/>
          <w:color w:val="auto"/>
          <w:sz w:val="24"/>
          <w:szCs w:val="24"/>
          <w:highlight w:val="none"/>
          <w:u w:val="none"/>
          <w:lang w:val="en-US" w:eastAsia="zh-CN"/>
        </w:rPr>
        <w:t>。</w:t>
      </w:r>
    </w:p>
    <w:p w14:paraId="4B86405D">
      <w:pPr>
        <w:pStyle w:val="159"/>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 xml:space="preserve">6.2 </w:t>
      </w:r>
      <w:r>
        <w:rPr>
          <w:rFonts w:hint="eastAsia" w:ascii="宋体" w:hAnsi="宋体" w:eastAsia="宋体" w:cs="宋体"/>
          <w:color w:val="auto"/>
          <w:sz w:val="24"/>
          <w:szCs w:val="24"/>
          <w:highlight w:val="none"/>
          <w:lang w:val="en-US" w:eastAsia="zh-CN"/>
        </w:rPr>
        <w:t>服务期限</w:t>
      </w:r>
    </w:p>
    <w:p w14:paraId="792F6D0E">
      <w:pPr>
        <w:pStyle w:val="160"/>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default" w:ascii="宋体" w:hAnsi="宋体" w:eastAsia="宋体" w:cs="宋体"/>
          <w:color w:val="auto"/>
          <w:sz w:val="24"/>
          <w:szCs w:val="24"/>
          <w:highlight w:val="none"/>
          <w:u w:val="single"/>
          <w:lang w:val="en-US" w:eastAsia="zh-CN"/>
        </w:rPr>
      </w:pPr>
      <w:r>
        <w:rPr>
          <w:rFonts w:hint="eastAsia" w:cs="宋体"/>
          <w:color w:val="auto"/>
          <w:sz w:val="24"/>
          <w:szCs w:val="24"/>
          <w:highlight w:val="none"/>
          <w:u w:val="single"/>
          <w:lang w:val="en-US" w:eastAsia="zh-CN"/>
        </w:rPr>
        <w:t xml:space="preserve">                    </w:t>
      </w:r>
      <w:r>
        <w:rPr>
          <w:rFonts w:hint="eastAsia" w:cs="宋体"/>
          <w:b/>
          <w:bCs/>
          <w:color w:val="auto"/>
          <w:sz w:val="24"/>
          <w:szCs w:val="24"/>
          <w:highlight w:val="none"/>
          <w:u w:val="single"/>
          <w:lang w:val="en-US" w:eastAsia="zh-CN"/>
        </w:rPr>
        <w:t xml:space="preserve"> </w:t>
      </w:r>
      <w:r>
        <w:rPr>
          <w:rFonts w:hint="eastAsia" w:cs="宋体"/>
          <w:b/>
          <w:bCs/>
          <w:color w:val="auto"/>
          <w:sz w:val="24"/>
          <w:szCs w:val="24"/>
          <w:highlight w:val="none"/>
          <w:u w:val="none"/>
          <w:lang w:val="en-US" w:eastAsia="zh-CN"/>
        </w:rPr>
        <w:t>。</w:t>
      </w:r>
    </w:p>
    <w:p w14:paraId="1F0A77BD">
      <w:pPr>
        <w:pStyle w:val="159"/>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 xml:space="preserve">6.3 </w:t>
      </w:r>
      <w:r>
        <w:rPr>
          <w:rFonts w:hint="eastAsia" w:ascii="宋体" w:hAnsi="宋体" w:eastAsia="宋体" w:cs="宋体"/>
          <w:color w:val="auto"/>
          <w:sz w:val="24"/>
          <w:szCs w:val="24"/>
          <w:highlight w:val="none"/>
          <w:lang w:val="en-US" w:eastAsia="zh-CN"/>
        </w:rPr>
        <w:t>服务效率：</w:t>
      </w:r>
    </w:p>
    <w:p w14:paraId="0FA12DBC">
      <w:pPr>
        <w:pStyle w:val="159"/>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w:t>
      </w:r>
    </w:p>
    <w:p w14:paraId="6DA521CD">
      <w:pPr>
        <w:pStyle w:val="158"/>
        <w:keepNext w:val="0"/>
        <w:keepLines w:val="0"/>
        <w:pageBreakBefore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第七条  知识产权和保密条款</w:t>
      </w:r>
    </w:p>
    <w:p w14:paraId="6DB1B644">
      <w:pPr>
        <w:pStyle w:val="159"/>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7.1 知识产权</w:t>
      </w:r>
    </w:p>
    <w:p w14:paraId="3AE9F6E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乙方保证所提供的产品及服务不存在任何侵犯第三方知识产权的情形。如因乙方原因导致甲方遭受第三方知识产权侵权指控，乙方应承担全部法律责任，并赔偿甲方因此遭受的一切损失。</w:t>
      </w:r>
    </w:p>
    <w:p w14:paraId="0E3CE4AC">
      <w:pPr>
        <w:pStyle w:val="159"/>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7.2 保密义务</w:t>
      </w:r>
    </w:p>
    <w:p w14:paraId="360BA04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双方应对在合同签订及履行过程中知悉的对方商业秘密、技术秘密、客户信息等予以保密。未经对方书面同意，任何一方不得向第三方披露或使用。保密期限为终身。</w:t>
      </w:r>
    </w:p>
    <w:p w14:paraId="1CCE687C">
      <w:pPr>
        <w:pStyle w:val="158"/>
        <w:keepNext w:val="0"/>
        <w:keepLines w:val="0"/>
        <w:pageBreakBefore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第八条  违约责任</w:t>
      </w:r>
    </w:p>
    <w:p w14:paraId="7E709D7F">
      <w:pPr>
        <w:pStyle w:val="159"/>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8.1 甲方违约责任</w:t>
      </w:r>
    </w:p>
    <w:p w14:paraId="2763119C">
      <w:pPr>
        <w:pStyle w:val="160"/>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（1）若甲方未按合同约定支付款项，每逾期一日，应按照未支付金额的0.5‰向乙方支付违约金；</w:t>
      </w:r>
    </w:p>
    <w:p w14:paraId="26C1CD03">
      <w:pPr>
        <w:pStyle w:val="160"/>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（2）逾期超过30日的，乙方有权解除合同，并要求甲方支付已完成工作对应的款项。</w:t>
      </w:r>
    </w:p>
    <w:p w14:paraId="448C61F5">
      <w:pPr>
        <w:pStyle w:val="159"/>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8.2 乙方违约责任</w:t>
      </w:r>
    </w:p>
    <w:p w14:paraId="26B7A8D5">
      <w:pPr>
        <w:pStyle w:val="160"/>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（1）若乙方未按合同约定时间交付或验收不合格，每逾期一日，应按照合同总金额的0.5‰向甲方支付违约金；</w:t>
      </w:r>
    </w:p>
    <w:p w14:paraId="0B1D5E26">
      <w:pPr>
        <w:pStyle w:val="160"/>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（2）逾期超过30日的，甲方有权解除合同，并要求乙方返还已支付款项；</w:t>
      </w:r>
    </w:p>
    <w:p w14:paraId="346C2361">
      <w:pPr>
        <w:pStyle w:val="160"/>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（3）若因产品质量问题给甲方造成损失的，乙方应承担全部赔偿责任</w:t>
      </w:r>
      <w:r>
        <w:rPr>
          <w:rFonts w:hint="eastAsia" w:ascii="宋体" w:hAnsi="宋体" w:eastAsia="宋体" w:cs="宋体"/>
          <w:color w:val="auto"/>
          <w:sz w:val="24"/>
          <w:szCs w:val="24"/>
          <w:highlight w:val="none"/>
          <w:lang w:eastAsia="zh-CN"/>
        </w:rPr>
        <w:t>；</w:t>
      </w:r>
    </w:p>
    <w:p w14:paraId="53B066CA">
      <w:pPr>
        <w:pStyle w:val="160"/>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val="0"/>
          <w:bCs/>
          <w:color w:val="auto"/>
          <w:sz w:val="24"/>
          <w:szCs w:val="24"/>
          <w:highlight w:val="none"/>
          <w:lang w:val="en-US" w:eastAsia="zh-CN"/>
        </w:rPr>
        <w:t>（4）软件存在知识产权问题：乙方需立即更换合格软件，并赔偿甲方因此产生的全部损失。</w:t>
      </w:r>
    </w:p>
    <w:p w14:paraId="245E7473">
      <w:pPr>
        <w:pStyle w:val="158"/>
        <w:keepNext w:val="0"/>
        <w:keepLines w:val="0"/>
        <w:pageBreakBefore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第九条  不可抗力</w:t>
      </w:r>
    </w:p>
    <w:p w14:paraId="7137F6B1">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因不可抗力事件导致合同无法履行的，受影响方应及时通知对方，并提供相关证明。双方应协商决定是否变更或解除合同。不可抗力事件包括但不限于自然灾害、政府行为、社会异常事件等。</w:t>
      </w:r>
    </w:p>
    <w:p w14:paraId="1F4368F8">
      <w:pPr>
        <w:pStyle w:val="158"/>
        <w:keepNext w:val="0"/>
        <w:keepLines w:val="0"/>
        <w:pageBreakBefore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第十条  争议解决</w:t>
      </w:r>
    </w:p>
    <w:p w14:paraId="39DFD5D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本合同在履行过程中如发生争议，双方应首先通过友好协商解决；协商不成的，任何一方均可向合同签订地有管辖权的人民法院提起诉讼。</w:t>
      </w:r>
    </w:p>
    <w:p w14:paraId="31A0C61F">
      <w:pPr>
        <w:pStyle w:val="158"/>
        <w:keepNext w:val="0"/>
        <w:keepLines w:val="0"/>
        <w:pageBreakBefore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第十一条  其他条款</w:t>
      </w:r>
    </w:p>
    <w:p w14:paraId="5F918C10">
      <w:pPr>
        <w:pStyle w:val="159"/>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 合同生效</w:t>
      </w:r>
    </w:p>
    <w:p w14:paraId="72ECF52B">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本合同自双方法定代表人或授权代表签字并加盖公章之日起生效。</w:t>
      </w:r>
    </w:p>
    <w:p w14:paraId="61F95D7E">
      <w:pPr>
        <w:pStyle w:val="159"/>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 合同份数</w:t>
      </w:r>
    </w:p>
    <w:p w14:paraId="30945559">
      <w:pPr>
        <w:pStyle w:val="159"/>
        <w:keepNext w:val="0"/>
        <w:keepLines w:val="0"/>
        <w:pageBreakBefore w:val="0"/>
        <w:kinsoku/>
        <w:wordWrap/>
        <w:overflowPunct/>
        <w:topLinePunct w:val="0"/>
        <w:autoSpaceDE/>
        <w:autoSpaceDN/>
        <w:bidi w:val="0"/>
        <w:adjustRightInd/>
        <w:snapToGrid/>
        <w:spacing w:before="0" w:after="0" w:line="360" w:lineRule="auto"/>
        <w:ind w:firstLine="480" w:firstLineChars="20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本合同一式【4】份，甲方执【4】份，乙方执【2】份，自双方签字盖章之日起生效。</w:t>
      </w:r>
    </w:p>
    <w:p w14:paraId="38F562A9">
      <w:pPr>
        <w:pStyle w:val="159"/>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 合同修改</w:t>
      </w:r>
    </w:p>
    <w:p w14:paraId="03C6C1C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本合同的任何修改或补充，须经双方书面协商一致，并签订书面补充协议。补充协议与本合同具有同等法律效力。</w:t>
      </w:r>
    </w:p>
    <w:p w14:paraId="0C032AE6">
      <w:pPr>
        <w:pStyle w:val="159"/>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11.4 未尽事宜</w:t>
      </w:r>
    </w:p>
    <w:p w14:paraId="319492F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本合同未尽事宜，双方可另行协商解决，并签订补充协议。</w:t>
      </w:r>
    </w:p>
    <w:p w14:paraId="56F2CD25">
      <w:pPr>
        <w:pStyle w:val="161"/>
        <w:spacing w:before="0" w:after="0" w:line="360" w:lineRule="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lang w:val="en-US" w:eastAsia="zh-CN" w:bidi="ar-SA"/>
        </w:rPr>
        <w:t>11.5</w:t>
      </w:r>
      <w:r>
        <w:rPr>
          <w:rFonts w:hint="eastAsia" w:ascii="宋体" w:hAnsi="宋体" w:eastAsia="宋体" w:cs="宋体"/>
          <w:b/>
          <w:color w:val="auto"/>
          <w:sz w:val="24"/>
          <w:szCs w:val="24"/>
          <w:highlight w:val="none"/>
          <w:lang w:val="en-US" w:eastAsia="en-US" w:bidi="ar-SA"/>
        </w:rPr>
        <w:t>本合同不可分割之部分</w:t>
      </w:r>
      <w:r>
        <w:rPr>
          <w:rFonts w:hint="eastAsia" w:ascii="宋体" w:hAnsi="宋体" w:eastAsia="宋体" w:cs="宋体"/>
          <w:color w:val="auto"/>
          <w:sz w:val="24"/>
          <w:szCs w:val="24"/>
          <w:highlight w:val="none"/>
        </w:rPr>
        <w:t>：</w:t>
      </w:r>
    </w:p>
    <w:p w14:paraId="117854D5">
      <w:pPr>
        <w:pStyle w:val="161"/>
        <w:spacing w:before="0" w:after="0"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招标</w:t>
      </w:r>
      <w:r>
        <w:rPr>
          <w:rFonts w:hint="eastAsia" w:ascii="宋体" w:hAnsi="宋体" w:eastAsia="宋体" w:cs="宋体"/>
          <w:color w:val="auto"/>
          <w:sz w:val="24"/>
          <w:szCs w:val="24"/>
          <w:highlight w:val="none"/>
        </w:rPr>
        <w:t>文件；</w:t>
      </w:r>
    </w:p>
    <w:p w14:paraId="2CE44435">
      <w:pPr>
        <w:pStyle w:val="161"/>
        <w:spacing w:before="0" w:after="0"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中标</w:t>
      </w:r>
      <w:r>
        <w:rPr>
          <w:rFonts w:hint="eastAsia" w:ascii="宋体" w:hAnsi="宋体" w:eastAsia="宋体" w:cs="宋体"/>
          <w:color w:val="auto"/>
          <w:sz w:val="24"/>
          <w:szCs w:val="24"/>
          <w:highlight w:val="none"/>
        </w:rPr>
        <w:t>人</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文件及澄清文件；</w:t>
      </w:r>
    </w:p>
    <w:p w14:paraId="706D99BC">
      <w:pPr>
        <w:pStyle w:val="161"/>
        <w:spacing w:before="0" w:after="0"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中标</w:t>
      </w:r>
      <w:r>
        <w:rPr>
          <w:rFonts w:hint="eastAsia" w:ascii="宋体" w:hAnsi="宋体" w:eastAsia="宋体" w:cs="宋体"/>
          <w:color w:val="auto"/>
          <w:sz w:val="24"/>
          <w:szCs w:val="24"/>
          <w:highlight w:val="none"/>
        </w:rPr>
        <w:t>通知书；</w:t>
      </w:r>
    </w:p>
    <w:p w14:paraId="3BF1922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olor w:val="auto"/>
          <w:sz w:val="24"/>
          <w:szCs w:val="24"/>
          <w:highlight w:val="none"/>
          <w:lang w:eastAsia="zh-CN"/>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．合同书附件。</w:t>
      </w:r>
    </w:p>
    <w:p w14:paraId="23074284">
      <w:pP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br w:type="page"/>
      </w:r>
    </w:p>
    <w:p w14:paraId="1041674D">
      <w:pPr>
        <w:widowControl/>
        <w:autoSpaceDE w:val="0"/>
        <w:autoSpaceDN w:val="0"/>
        <w:adjustRightInd w:val="0"/>
        <w:snapToGrid w:val="0"/>
        <w:spacing w:line="400" w:lineRule="exact"/>
        <w:jc w:val="center"/>
        <w:textAlignment w:val="baseline"/>
        <w:rPr>
          <w:rFonts w:hint="eastAsia" w:ascii="宋体" w:hAnsi="宋体" w:eastAsia="宋体" w:cs="宋体"/>
          <w:b/>
          <w:bCs/>
          <w:color w:val="auto"/>
          <w:sz w:val="28"/>
          <w:szCs w:val="28"/>
          <w:highlight w:val="none"/>
        </w:rPr>
      </w:pPr>
      <w:r>
        <w:rPr>
          <w:rFonts w:hint="eastAsia" w:ascii="宋体" w:hAnsi="宋体" w:eastAsia="宋体" w:cs="宋体"/>
          <w:b/>
          <w:bCs/>
          <w:color w:val="auto"/>
          <w:sz w:val="32"/>
          <w:szCs w:val="32"/>
          <w:highlight w:val="none"/>
        </w:rPr>
        <w:t>政府采购廉政协议（模板）</w:t>
      </w:r>
    </w:p>
    <w:p w14:paraId="7E51DFCD">
      <w:pPr>
        <w:widowControl/>
        <w:autoSpaceDE w:val="0"/>
        <w:autoSpaceDN w:val="0"/>
        <w:adjustRightInd w:val="0"/>
        <w:snapToGrid w:val="0"/>
        <w:spacing w:line="360" w:lineRule="auto"/>
        <w:ind w:firstLine="482" w:firstLineChars="200"/>
        <w:textAlignment w:val="baseline"/>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甲方（采购人）:</w:t>
      </w:r>
    </w:p>
    <w:p w14:paraId="14986F71">
      <w:pPr>
        <w:widowControl/>
        <w:autoSpaceDE w:val="0"/>
        <w:autoSpaceDN w:val="0"/>
        <w:adjustRightInd w:val="0"/>
        <w:snapToGrid w:val="0"/>
        <w:spacing w:line="360" w:lineRule="auto"/>
        <w:ind w:firstLine="482" w:firstLineChars="200"/>
        <w:textAlignment w:val="baseline"/>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乙方（供货人）:</w:t>
      </w:r>
    </w:p>
    <w:p w14:paraId="2A0DD028">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为促进甲乙双方廉洁高效合作，促使甲乙双方工作人员廉洁从业，不断推动党风廉政建设工作，按照国家有关法律法规、廉政规定，经甲乙双方协商一致，自愿签订以下廉政协议。</w:t>
      </w:r>
    </w:p>
    <w:p w14:paraId="28D2CCD7">
      <w:pPr>
        <w:widowControl/>
        <w:autoSpaceDE w:val="0"/>
        <w:autoSpaceDN w:val="0"/>
        <w:adjustRightInd w:val="0"/>
        <w:snapToGrid w:val="0"/>
        <w:spacing w:line="360" w:lineRule="auto"/>
        <w:ind w:firstLine="482" w:firstLineChars="200"/>
        <w:textAlignment w:val="baseline"/>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第一条：甲乙双方的权利和义务</w:t>
      </w:r>
    </w:p>
    <w:p w14:paraId="0D248A2F">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（一）严格遵守党和国家有关法律法规及党风廉政建设各项规定。</w:t>
      </w:r>
    </w:p>
    <w:p w14:paraId="3A283485">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（二）严格履行《中华人民共和国反不正当竞争法》《关于禁止商业贿赂行为的暂行规定》等各项规定，杜绝违法违规行为的发生。</w:t>
      </w:r>
    </w:p>
    <w:p w14:paraId="15B38B70">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（三）双方的业务活动坚持公开、公平、公正、诚信的原则（除法律认定的商业秘密和协议文件另有规定之外）,严禁损害国家和集体利益，违反法律法规及规章制度。</w:t>
      </w:r>
    </w:p>
    <w:p w14:paraId="016650E9">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（四）发现对方在业务活动中有违反廉政规定和本协议约定的行为时，有及时提醒和督促对方纠正的权利和义务。</w:t>
      </w:r>
    </w:p>
    <w:p w14:paraId="24F0AF93">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（五）发现对方在业务活动中有违反廉政规定和本协议约定的行为时，有权向对方主管部门或有关机构检举、揭发。</w:t>
      </w:r>
    </w:p>
    <w:p w14:paraId="7F449CAE">
      <w:pPr>
        <w:widowControl/>
        <w:autoSpaceDE w:val="0"/>
        <w:autoSpaceDN w:val="0"/>
        <w:adjustRightInd w:val="0"/>
        <w:snapToGrid w:val="0"/>
        <w:spacing w:line="360" w:lineRule="auto"/>
        <w:ind w:firstLine="482" w:firstLineChars="200"/>
        <w:textAlignment w:val="baseline"/>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第二条：甲方在廉政建设方面的义务</w:t>
      </w:r>
    </w:p>
    <w:p w14:paraId="420CAA43">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严格遵守国家政策法令和廉政规定，恪守职业道德，坚持公开、公平、公正原则，对政府采购活动进行规范管理。</w:t>
      </w:r>
    </w:p>
    <w:p w14:paraId="587B2D8E">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甲方工作人员及其家属不得以任何形式或名义索要、接受乙方的红包、礼金、有价证券、礼品和其他馈赠。</w:t>
      </w:r>
    </w:p>
    <w:p w14:paraId="33C80B55">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甲方工作人员及其家属不得以任何形式或名义接受乙方的请吃、请钓、旅游和各类娱乐消费活动。</w:t>
      </w:r>
    </w:p>
    <w:p w14:paraId="3A8F4D90">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甲方应建立健全内部监督机制，对政府采购活动进行全程监督，确保采购活动的公开、透明和合规性。</w:t>
      </w:r>
    </w:p>
    <w:p w14:paraId="31DAB481">
      <w:pPr>
        <w:widowControl/>
        <w:autoSpaceDE w:val="0"/>
        <w:autoSpaceDN w:val="0"/>
        <w:adjustRightInd w:val="0"/>
        <w:snapToGrid w:val="0"/>
        <w:spacing w:line="360" w:lineRule="auto"/>
        <w:ind w:firstLine="482" w:firstLineChars="200"/>
        <w:textAlignment w:val="baseline"/>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第三条：乙方在廉政建设方面义务</w:t>
      </w:r>
    </w:p>
    <w:p w14:paraId="191CDD14">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乙方应严格遵守国家法律法规和政府采购的相关规定，坚持公开、公平、公正原则，为甲方提供优质的服务。</w:t>
      </w:r>
    </w:p>
    <w:p w14:paraId="45EF52DE">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乙方不得采取任何不正当手段谋取利益，如行贿、受贿、欺诈等。</w:t>
      </w:r>
    </w:p>
    <w:p w14:paraId="5FF930EB">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乙方不得与甲方工作人员进行私下接触，不得向甲方工作人员或其家属提供任何形式的红包、礼金、有价证券、礼品和其他馈赠。</w:t>
      </w:r>
    </w:p>
    <w:p w14:paraId="49E3E599">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乙方承诺严格遵守保密规定，不泄露应予以保密的信息。</w:t>
      </w:r>
    </w:p>
    <w:p w14:paraId="1948422A">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乙方应建立健全内部管理机制，规范员工行为，确保员工遵守法律法规和职业道德规范。</w:t>
      </w:r>
    </w:p>
    <w:p w14:paraId="4BD34984">
      <w:pPr>
        <w:widowControl/>
        <w:autoSpaceDE w:val="0"/>
        <w:autoSpaceDN w:val="0"/>
        <w:adjustRightInd w:val="0"/>
        <w:snapToGrid w:val="0"/>
        <w:spacing w:line="360" w:lineRule="auto"/>
        <w:ind w:firstLine="482" w:firstLineChars="200"/>
        <w:textAlignment w:val="baseline"/>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第四条：违约责任</w:t>
      </w:r>
    </w:p>
    <w:p w14:paraId="715881CA">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若甲方工作人员违反本协议规定的廉政责任，甲方将依法依规进行处理，并承担相应的法律责任。</w:t>
      </w:r>
    </w:p>
    <w:p w14:paraId="55E20EBD">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若乙方违反本协议规定的廉政责任，依法追究乙方的法律责任。</w:t>
      </w:r>
    </w:p>
    <w:p w14:paraId="40674148">
      <w:pPr>
        <w:widowControl/>
        <w:autoSpaceDE w:val="0"/>
        <w:autoSpaceDN w:val="0"/>
        <w:adjustRightInd w:val="0"/>
        <w:snapToGrid w:val="0"/>
        <w:spacing w:line="360" w:lineRule="auto"/>
        <w:ind w:firstLine="482" w:firstLineChars="200"/>
        <w:textAlignment w:val="baseline"/>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第五条：</w:t>
      </w:r>
      <w:r>
        <w:rPr>
          <w:rFonts w:hint="eastAsia" w:ascii="宋体" w:hAnsi="宋体" w:eastAsia="宋体" w:cs="宋体"/>
          <w:color w:val="auto"/>
          <w:sz w:val="24"/>
          <w:highlight w:val="none"/>
        </w:rPr>
        <w:t>本协议自双方签字盖章之日起生效，一式两份，甲乙双方各执一份，具有同等法律效力。</w:t>
      </w:r>
    </w:p>
    <w:p w14:paraId="2F708A22">
      <w:pPr>
        <w:widowControl/>
        <w:autoSpaceDE w:val="0"/>
        <w:autoSpaceDN w:val="0"/>
        <w:adjustRightInd w:val="0"/>
        <w:snapToGrid w:val="0"/>
        <w:spacing w:line="360" w:lineRule="auto"/>
        <w:ind w:firstLine="482" w:firstLineChars="200"/>
        <w:textAlignment w:val="baseline"/>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第六条：</w:t>
      </w:r>
      <w:r>
        <w:rPr>
          <w:rFonts w:hint="eastAsia" w:ascii="宋体" w:hAnsi="宋体" w:eastAsia="宋体" w:cs="宋体"/>
          <w:color w:val="auto"/>
          <w:sz w:val="24"/>
          <w:highlight w:val="none"/>
        </w:rPr>
        <w:t>本协议未尽事宜，双方可另行协商补充。</w:t>
      </w:r>
    </w:p>
    <w:tbl>
      <w:tblPr>
        <w:tblStyle w:val="43"/>
        <w:tblW w:w="9780" w:type="dxa"/>
        <w:jc w:val="center"/>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fixed"/>
        <w:tblCellMar>
          <w:top w:w="0" w:type="dxa"/>
          <w:left w:w="108" w:type="dxa"/>
          <w:bottom w:w="0" w:type="dxa"/>
          <w:right w:w="108" w:type="dxa"/>
        </w:tblCellMar>
      </w:tblPr>
      <w:tblGrid>
        <w:gridCol w:w="4890"/>
        <w:gridCol w:w="4890"/>
      </w:tblGrid>
      <w:tr w14:paraId="32A82E12">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592" w:hRule="exact"/>
          <w:jc w:val="center"/>
        </w:trPr>
        <w:tc>
          <w:tcPr>
            <w:tcW w:w="4890" w:type="dxa"/>
            <w:tcBorders>
              <w:tl2br w:val="nil"/>
              <w:tr2bl w:val="nil"/>
            </w:tcBorders>
            <w:vAlign w:val="center"/>
          </w:tcPr>
          <w:p w14:paraId="691909D5">
            <w:pPr>
              <w:widowControl/>
              <w:autoSpaceDE w:val="0"/>
              <w:autoSpaceDN w:val="0"/>
              <w:adjustRightInd w:val="0"/>
              <w:snapToGrid w:val="0"/>
              <w:spacing w:line="360" w:lineRule="auto"/>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甲方（公章）：</w:t>
            </w:r>
          </w:p>
        </w:tc>
        <w:tc>
          <w:tcPr>
            <w:tcW w:w="4890" w:type="dxa"/>
            <w:tcBorders>
              <w:tl2br w:val="nil"/>
              <w:tr2bl w:val="nil"/>
            </w:tcBorders>
            <w:vAlign w:val="center"/>
          </w:tcPr>
          <w:p w14:paraId="570238AA">
            <w:pPr>
              <w:widowControl/>
              <w:autoSpaceDE w:val="0"/>
              <w:autoSpaceDN w:val="0"/>
              <w:adjustRightInd w:val="0"/>
              <w:snapToGrid w:val="0"/>
              <w:spacing w:line="360" w:lineRule="auto"/>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乙方（公章）：</w:t>
            </w:r>
          </w:p>
        </w:tc>
      </w:tr>
      <w:tr w14:paraId="49AEFBFE">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592" w:hRule="exact"/>
          <w:jc w:val="center"/>
        </w:trPr>
        <w:tc>
          <w:tcPr>
            <w:tcW w:w="4890" w:type="dxa"/>
            <w:tcBorders>
              <w:tl2br w:val="nil"/>
              <w:tr2bl w:val="nil"/>
            </w:tcBorders>
            <w:vAlign w:val="center"/>
          </w:tcPr>
          <w:p w14:paraId="3853CCD3">
            <w:pPr>
              <w:widowControl/>
              <w:autoSpaceDE w:val="0"/>
              <w:autoSpaceDN w:val="0"/>
              <w:adjustRightInd w:val="0"/>
              <w:snapToGrid w:val="0"/>
              <w:spacing w:line="360" w:lineRule="auto"/>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法定代表人（委托代理人）：</w:t>
            </w:r>
          </w:p>
        </w:tc>
        <w:tc>
          <w:tcPr>
            <w:tcW w:w="4890" w:type="dxa"/>
            <w:tcBorders>
              <w:tl2br w:val="nil"/>
              <w:tr2bl w:val="nil"/>
            </w:tcBorders>
            <w:vAlign w:val="center"/>
          </w:tcPr>
          <w:p w14:paraId="7EC45607">
            <w:pPr>
              <w:widowControl/>
              <w:autoSpaceDE w:val="0"/>
              <w:autoSpaceDN w:val="0"/>
              <w:adjustRightInd w:val="0"/>
              <w:snapToGrid w:val="0"/>
              <w:spacing w:line="360" w:lineRule="auto"/>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法定代表人（委托代理人）：</w:t>
            </w:r>
          </w:p>
        </w:tc>
      </w:tr>
      <w:tr w14:paraId="0A150F47">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592" w:hRule="exact"/>
          <w:jc w:val="center"/>
        </w:trPr>
        <w:tc>
          <w:tcPr>
            <w:tcW w:w="4890" w:type="dxa"/>
            <w:tcBorders>
              <w:tl2br w:val="nil"/>
              <w:tr2bl w:val="nil"/>
            </w:tcBorders>
            <w:vAlign w:val="center"/>
          </w:tcPr>
          <w:p w14:paraId="6388DD37">
            <w:pPr>
              <w:widowControl/>
              <w:autoSpaceDE w:val="0"/>
              <w:autoSpaceDN w:val="0"/>
              <w:adjustRightInd w:val="0"/>
              <w:snapToGrid w:val="0"/>
              <w:spacing w:line="360" w:lineRule="auto"/>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日期：    年   月  日</w:t>
            </w:r>
          </w:p>
        </w:tc>
        <w:tc>
          <w:tcPr>
            <w:tcW w:w="4890" w:type="dxa"/>
            <w:tcBorders>
              <w:tl2br w:val="nil"/>
              <w:tr2bl w:val="nil"/>
            </w:tcBorders>
            <w:vAlign w:val="center"/>
          </w:tcPr>
          <w:p w14:paraId="2AAFE459">
            <w:pPr>
              <w:widowControl/>
              <w:autoSpaceDE w:val="0"/>
              <w:autoSpaceDN w:val="0"/>
              <w:adjustRightInd w:val="0"/>
              <w:snapToGrid w:val="0"/>
              <w:spacing w:line="360" w:lineRule="auto"/>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日期：    年   月   日</w:t>
            </w:r>
          </w:p>
        </w:tc>
      </w:tr>
      <w:tr w14:paraId="437F283C">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592" w:hRule="exact"/>
          <w:jc w:val="center"/>
        </w:trPr>
        <w:tc>
          <w:tcPr>
            <w:tcW w:w="4890" w:type="dxa"/>
            <w:tcBorders>
              <w:tl2br w:val="nil"/>
              <w:tr2bl w:val="nil"/>
            </w:tcBorders>
            <w:vAlign w:val="center"/>
          </w:tcPr>
          <w:p w14:paraId="25FB39F6">
            <w:pPr>
              <w:widowControl/>
              <w:autoSpaceDE w:val="0"/>
              <w:autoSpaceDN w:val="0"/>
              <w:adjustRightInd w:val="0"/>
              <w:snapToGrid w:val="0"/>
              <w:spacing w:line="360" w:lineRule="auto"/>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地址：</w:t>
            </w:r>
          </w:p>
        </w:tc>
        <w:tc>
          <w:tcPr>
            <w:tcW w:w="4890" w:type="dxa"/>
            <w:tcBorders>
              <w:tl2br w:val="nil"/>
              <w:tr2bl w:val="nil"/>
            </w:tcBorders>
            <w:vAlign w:val="center"/>
          </w:tcPr>
          <w:p w14:paraId="68003777">
            <w:pPr>
              <w:widowControl/>
              <w:autoSpaceDE w:val="0"/>
              <w:autoSpaceDN w:val="0"/>
              <w:adjustRightInd w:val="0"/>
              <w:snapToGrid w:val="0"/>
              <w:spacing w:line="360" w:lineRule="auto"/>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地址：</w:t>
            </w:r>
          </w:p>
        </w:tc>
      </w:tr>
      <w:tr w14:paraId="7A255D57">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592" w:hRule="exact"/>
          <w:jc w:val="center"/>
        </w:trPr>
        <w:tc>
          <w:tcPr>
            <w:tcW w:w="4890" w:type="dxa"/>
            <w:tcBorders>
              <w:tl2br w:val="nil"/>
              <w:tr2bl w:val="nil"/>
            </w:tcBorders>
            <w:vAlign w:val="center"/>
          </w:tcPr>
          <w:p w14:paraId="736FC325">
            <w:pPr>
              <w:widowControl/>
              <w:autoSpaceDE w:val="0"/>
              <w:autoSpaceDN w:val="0"/>
              <w:adjustRightInd w:val="0"/>
              <w:snapToGrid w:val="0"/>
              <w:spacing w:line="360" w:lineRule="auto"/>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电话（传真）：</w:t>
            </w:r>
          </w:p>
        </w:tc>
        <w:tc>
          <w:tcPr>
            <w:tcW w:w="4890" w:type="dxa"/>
            <w:tcBorders>
              <w:tl2br w:val="nil"/>
              <w:tr2bl w:val="nil"/>
            </w:tcBorders>
            <w:vAlign w:val="center"/>
          </w:tcPr>
          <w:p w14:paraId="431C4EF7">
            <w:pPr>
              <w:widowControl/>
              <w:autoSpaceDE w:val="0"/>
              <w:autoSpaceDN w:val="0"/>
              <w:adjustRightInd w:val="0"/>
              <w:snapToGrid w:val="0"/>
              <w:spacing w:line="360" w:lineRule="auto"/>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电话（传真）：</w:t>
            </w:r>
          </w:p>
        </w:tc>
      </w:tr>
      <w:tr w14:paraId="29058CA4">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599" w:hRule="exact"/>
          <w:jc w:val="center"/>
        </w:trPr>
        <w:tc>
          <w:tcPr>
            <w:tcW w:w="4890" w:type="dxa"/>
            <w:tcBorders>
              <w:tl2br w:val="nil"/>
              <w:tr2bl w:val="nil"/>
            </w:tcBorders>
            <w:vAlign w:val="center"/>
          </w:tcPr>
          <w:p w14:paraId="74A2F3DB">
            <w:pPr>
              <w:widowControl/>
              <w:autoSpaceDE w:val="0"/>
              <w:autoSpaceDN w:val="0"/>
              <w:adjustRightInd w:val="0"/>
              <w:snapToGrid w:val="0"/>
              <w:spacing w:line="360" w:lineRule="auto"/>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邮编：</w:t>
            </w:r>
          </w:p>
        </w:tc>
        <w:tc>
          <w:tcPr>
            <w:tcW w:w="4890" w:type="dxa"/>
            <w:tcBorders>
              <w:tl2br w:val="nil"/>
              <w:tr2bl w:val="nil"/>
            </w:tcBorders>
            <w:vAlign w:val="center"/>
          </w:tcPr>
          <w:p w14:paraId="328A833E">
            <w:pPr>
              <w:widowControl/>
              <w:autoSpaceDE w:val="0"/>
              <w:autoSpaceDN w:val="0"/>
              <w:adjustRightInd w:val="0"/>
              <w:snapToGrid w:val="0"/>
              <w:spacing w:line="360" w:lineRule="auto"/>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邮编：</w:t>
            </w:r>
          </w:p>
        </w:tc>
      </w:tr>
    </w:tbl>
    <w:p w14:paraId="7982F9D2">
      <w:pP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br w:type="page"/>
      </w:r>
    </w:p>
    <w:p w14:paraId="23123B05">
      <w:pPr>
        <w:jc w:val="center"/>
        <w:outlineLvl w:val="0"/>
        <w:rPr>
          <w:rFonts w:hint="eastAsia" w:ascii="宋体" w:hAnsi="宋体" w:eastAsia="宋体" w:cs="宋体"/>
          <w:bCs/>
          <w:color w:val="auto"/>
          <w:sz w:val="36"/>
          <w:highlight w:val="none"/>
        </w:rPr>
      </w:pPr>
      <w:bookmarkStart w:id="154" w:name="_Toc6780"/>
      <w:bookmarkStart w:id="155" w:name="_Toc1091"/>
      <w:bookmarkStart w:id="156" w:name="_Toc14951"/>
      <w:r>
        <w:rPr>
          <w:rFonts w:hint="eastAsia" w:ascii="宋体" w:hAnsi="宋体" w:eastAsia="宋体" w:cs="宋体"/>
          <w:b/>
          <w:bCs w:val="0"/>
          <w:color w:val="auto"/>
          <w:sz w:val="36"/>
          <w:highlight w:val="none"/>
        </w:rPr>
        <w:t>第</w:t>
      </w:r>
      <w:r>
        <w:rPr>
          <w:rFonts w:hint="eastAsia" w:ascii="宋体" w:hAnsi="宋体" w:eastAsia="宋体" w:cs="宋体"/>
          <w:b/>
          <w:bCs w:val="0"/>
          <w:color w:val="auto"/>
          <w:sz w:val="36"/>
          <w:highlight w:val="none"/>
          <w:lang w:val="en-US" w:eastAsia="zh-CN"/>
        </w:rPr>
        <w:t>四</w:t>
      </w:r>
      <w:r>
        <w:rPr>
          <w:rFonts w:hint="eastAsia" w:ascii="宋体" w:hAnsi="宋体" w:eastAsia="宋体" w:cs="宋体"/>
          <w:b/>
          <w:bCs w:val="0"/>
          <w:color w:val="auto"/>
          <w:sz w:val="36"/>
          <w:highlight w:val="none"/>
        </w:rPr>
        <w:t xml:space="preserve">章  </w:t>
      </w:r>
      <w:bookmarkStart w:id="157" w:name="_Hlk110865666"/>
      <w:r>
        <w:rPr>
          <w:rFonts w:hint="eastAsia" w:ascii="宋体" w:hAnsi="宋体" w:eastAsia="宋体" w:cs="宋体"/>
          <w:b/>
          <w:bCs w:val="0"/>
          <w:color w:val="auto"/>
          <w:sz w:val="36"/>
          <w:highlight w:val="none"/>
        </w:rPr>
        <w:t>采购需求</w:t>
      </w:r>
      <w:bookmarkEnd w:id="154"/>
      <w:bookmarkEnd w:id="155"/>
      <w:bookmarkEnd w:id="156"/>
    </w:p>
    <w:bookmarkEnd w:id="157"/>
    <w:p w14:paraId="0D6EEC69">
      <w:pPr>
        <w:widowControl/>
        <w:spacing w:line="360" w:lineRule="auto"/>
        <w:jc w:val="left"/>
        <w:outlineLvl w:val="1"/>
        <w:rPr>
          <w:rFonts w:hint="eastAsia" w:ascii="宋体" w:hAnsi="宋体" w:eastAsia="宋体" w:cs="宋体"/>
          <w:b/>
          <w:bCs/>
          <w:color w:val="auto"/>
          <w:kern w:val="0"/>
          <w:sz w:val="24"/>
          <w:highlight w:val="none"/>
        </w:rPr>
      </w:pPr>
      <w:bookmarkStart w:id="158" w:name="_Toc28347"/>
      <w:bookmarkStart w:id="159" w:name="_Toc3069"/>
      <w:bookmarkStart w:id="160" w:name="_Toc22888"/>
      <w:bookmarkStart w:id="161" w:name="_Toc8152"/>
      <w:bookmarkStart w:id="162" w:name="_Toc8168228"/>
      <w:bookmarkStart w:id="163" w:name="_Toc5780262"/>
      <w:bookmarkStart w:id="164" w:name="_Toc18419"/>
      <w:r>
        <w:rPr>
          <w:rFonts w:hint="eastAsia" w:ascii="宋体" w:hAnsi="宋体" w:eastAsia="宋体" w:cs="宋体"/>
          <w:b/>
          <w:bCs/>
          <w:color w:val="auto"/>
          <w:kern w:val="0"/>
          <w:sz w:val="24"/>
          <w:highlight w:val="none"/>
        </w:rPr>
        <w:t>一、项目基本情况</w:t>
      </w:r>
      <w:bookmarkEnd w:id="158"/>
      <w:bookmarkEnd w:id="159"/>
      <w:bookmarkEnd w:id="160"/>
      <w:bookmarkEnd w:id="161"/>
    </w:p>
    <w:p w14:paraId="67CFACFA">
      <w:pPr>
        <w:keepNext w:val="0"/>
        <w:keepLines w:val="0"/>
        <w:pageBreakBefore w:val="0"/>
        <w:widowControl/>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rPr>
        <w:t>1.项目编号：</w:t>
      </w:r>
      <w:r>
        <w:rPr>
          <w:rFonts w:hint="eastAsia" w:ascii="宋体" w:hAnsi="宋体" w:eastAsia="宋体" w:cs="宋体"/>
          <w:color w:val="auto"/>
          <w:kern w:val="0"/>
          <w:sz w:val="24"/>
          <w:highlight w:val="none"/>
          <w:lang w:eastAsia="zh-CN"/>
        </w:rPr>
        <w:t>WTZB-202605-00</w:t>
      </w:r>
      <w:r>
        <w:rPr>
          <w:rFonts w:hint="eastAsia" w:ascii="宋体" w:hAnsi="宋体" w:eastAsia="宋体" w:cs="宋体"/>
          <w:color w:val="auto"/>
          <w:kern w:val="0"/>
          <w:sz w:val="24"/>
          <w:highlight w:val="none"/>
          <w:lang w:val="en-US" w:eastAsia="zh-CN"/>
        </w:rPr>
        <w:t>1</w:t>
      </w:r>
    </w:p>
    <w:p w14:paraId="3E3E52F1">
      <w:pPr>
        <w:keepNext w:val="0"/>
        <w:keepLines w:val="0"/>
        <w:pageBreakBefore w:val="0"/>
        <w:widowControl/>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rPr>
        <w:t>2.项目名称：</w:t>
      </w:r>
      <w:r>
        <w:rPr>
          <w:rFonts w:hint="eastAsia" w:ascii="宋体" w:hAnsi="宋体" w:eastAsia="宋体" w:cs="宋体"/>
          <w:color w:val="auto"/>
          <w:kern w:val="0"/>
          <w:sz w:val="24"/>
          <w:highlight w:val="none"/>
          <w:lang w:eastAsia="zh-CN"/>
        </w:rPr>
        <w:t>玉溪职业技术学院（云南省玉溪工业财贸学校）改善办学条件采购项目</w:t>
      </w:r>
    </w:p>
    <w:p w14:paraId="3EACBC54">
      <w:pPr>
        <w:keepNext w:val="0"/>
        <w:keepLines w:val="0"/>
        <w:pageBreakBefore w:val="0"/>
        <w:widowControl/>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color w:val="auto"/>
          <w:spacing w:val="0"/>
          <w:kern w:val="0"/>
          <w:sz w:val="24"/>
          <w:szCs w:val="24"/>
          <w:highlight w:val="none"/>
          <w:lang w:val="en-US" w:eastAsia="zh-CN" w:bidi="ar-SA"/>
        </w:rPr>
      </w:pPr>
      <w:r>
        <w:rPr>
          <w:rFonts w:hint="eastAsia" w:ascii="宋体" w:hAnsi="宋体" w:eastAsia="宋体" w:cs="宋体"/>
          <w:b w:val="0"/>
          <w:bCs/>
          <w:color w:val="auto"/>
          <w:kern w:val="0"/>
          <w:sz w:val="24"/>
          <w:highlight w:val="none"/>
        </w:rPr>
        <w:t>3.预算金额（最高限价）：</w:t>
      </w:r>
      <w:r>
        <w:rPr>
          <w:rFonts w:hint="eastAsia" w:ascii="宋体" w:hAnsi="宋体" w:eastAsia="宋体" w:cs="宋体"/>
          <w:color w:val="auto"/>
          <w:kern w:val="0"/>
          <w:sz w:val="24"/>
          <w:highlight w:val="none"/>
        </w:rPr>
        <w:t>小写：¥</w:t>
      </w:r>
      <w:r>
        <w:rPr>
          <w:rFonts w:hint="eastAsia" w:ascii="宋体" w:hAnsi="宋体" w:eastAsia="宋体" w:cs="宋体"/>
          <w:color w:val="auto"/>
          <w:kern w:val="0"/>
          <w:sz w:val="24"/>
          <w:highlight w:val="none"/>
          <w:lang w:val="en-US" w:eastAsia="zh-CN"/>
        </w:rPr>
        <w:t>355</w:t>
      </w:r>
      <w:r>
        <w:rPr>
          <w:rFonts w:hint="eastAsia" w:ascii="宋体" w:hAnsi="宋体" w:cs="宋体"/>
          <w:color w:val="auto"/>
          <w:kern w:val="0"/>
          <w:sz w:val="24"/>
          <w:highlight w:val="none"/>
          <w:lang w:val="en-US" w:eastAsia="zh-CN"/>
        </w:rPr>
        <w:t>66</w:t>
      </w:r>
      <w:r>
        <w:rPr>
          <w:rFonts w:hint="eastAsia" w:ascii="宋体" w:hAnsi="宋体" w:eastAsia="宋体" w:cs="宋体"/>
          <w:color w:val="auto"/>
          <w:kern w:val="0"/>
          <w:sz w:val="24"/>
          <w:highlight w:val="none"/>
          <w:lang w:val="en-US" w:eastAsia="zh-CN"/>
        </w:rPr>
        <w:t>00.00</w:t>
      </w:r>
      <w:r>
        <w:rPr>
          <w:rFonts w:hint="eastAsia" w:ascii="宋体" w:hAnsi="宋体" w:eastAsia="宋体" w:cs="宋体"/>
          <w:color w:val="auto"/>
          <w:kern w:val="0"/>
          <w:sz w:val="24"/>
          <w:highlight w:val="none"/>
        </w:rPr>
        <w:t>元；</w:t>
      </w:r>
      <w:r>
        <w:rPr>
          <w:rFonts w:hint="eastAsia" w:ascii="宋体" w:hAnsi="宋体" w:eastAsia="宋体" w:cs="宋体"/>
          <w:color w:val="auto"/>
          <w:kern w:val="0"/>
          <w:sz w:val="24"/>
          <w:highlight w:val="none"/>
          <w:lang w:val="en-US" w:eastAsia="zh-CN"/>
        </w:rPr>
        <w:t>大写：人民币</w:t>
      </w:r>
      <w:r>
        <w:rPr>
          <w:rFonts w:hint="eastAsia" w:ascii="宋体" w:hAnsi="宋体" w:cs="宋体"/>
          <w:color w:val="auto"/>
          <w:kern w:val="0"/>
          <w:sz w:val="24"/>
          <w:highlight w:val="none"/>
          <w:lang w:val="en-US" w:eastAsia="zh-CN"/>
        </w:rPr>
        <w:t>叁佰伍拾伍万陆仟陆佰</w:t>
      </w:r>
      <w:r>
        <w:rPr>
          <w:rFonts w:hint="eastAsia" w:ascii="宋体" w:hAnsi="宋体" w:eastAsia="宋体" w:cs="宋体"/>
          <w:color w:val="auto"/>
          <w:kern w:val="0"/>
          <w:sz w:val="24"/>
          <w:highlight w:val="none"/>
          <w:lang w:val="en-US" w:eastAsia="zh-CN"/>
        </w:rPr>
        <w:t>元整。</w:t>
      </w:r>
      <w:r>
        <w:rPr>
          <w:rFonts w:hint="eastAsia" w:ascii="宋体" w:hAnsi="宋体" w:eastAsia="宋体" w:cs="宋体"/>
          <w:b w:val="0"/>
          <w:bCs/>
          <w:color w:val="auto"/>
          <w:kern w:val="0"/>
          <w:sz w:val="24"/>
          <w:highlight w:val="none"/>
        </w:rPr>
        <w:t>其中</w:t>
      </w:r>
      <w:r>
        <w:rPr>
          <w:rFonts w:hint="eastAsia" w:ascii="宋体" w:hAnsi="宋体" w:eastAsia="宋体" w:cs="宋体"/>
          <w:b w:val="0"/>
          <w:bCs/>
          <w:color w:val="auto"/>
          <w:kern w:val="0"/>
          <w:sz w:val="24"/>
          <w:highlight w:val="none"/>
          <w:lang w:eastAsia="zh-CN"/>
        </w:rPr>
        <w:t>：</w:t>
      </w:r>
      <w:r>
        <w:rPr>
          <w:rFonts w:hint="eastAsia" w:ascii="宋体" w:hAnsi="宋体" w:eastAsia="宋体" w:cs="宋体"/>
          <w:b w:val="0"/>
          <w:color w:val="auto"/>
          <w:spacing w:val="0"/>
          <w:kern w:val="0"/>
          <w:sz w:val="24"/>
          <w:szCs w:val="24"/>
          <w:highlight w:val="none"/>
          <w:lang w:val="en-US" w:eastAsia="zh-CN" w:bidi="ar-SA"/>
        </w:rPr>
        <w:t>标段5 马克思主义学院红色文化建设项目</w:t>
      </w:r>
      <w:r>
        <w:rPr>
          <w:rFonts w:hint="eastAsia" w:ascii="宋体" w:hAnsi="宋体" w:cs="宋体"/>
          <w:b w:val="0"/>
          <w:bCs/>
          <w:color w:val="auto"/>
          <w:kern w:val="0"/>
          <w:sz w:val="24"/>
          <w:highlight w:val="none"/>
          <w:lang w:val="en-US" w:eastAsia="zh-CN"/>
        </w:rPr>
        <w:t>：</w:t>
      </w:r>
      <w:r>
        <w:rPr>
          <w:rFonts w:hint="eastAsia" w:ascii="宋体" w:hAnsi="宋体" w:eastAsia="宋体" w:cs="宋体"/>
          <w:b w:val="0"/>
          <w:bCs/>
          <w:color w:val="auto"/>
          <w:spacing w:val="0"/>
          <w:kern w:val="0"/>
          <w:sz w:val="24"/>
          <w:szCs w:val="24"/>
          <w:highlight w:val="none"/>
          <w:lang w:val="en-US" w:eastAsia="zh-CN" w:bidi="ar-SA"/>
        </w:rPr>
        <w:t>小写:¥600000.00元；大写：人民币陆拾</w:t>
      </w:r>
      <w:r>
        <w:rPr>
          <w:rFonts w:hint="eastAsia" w:ascii="宋体" w:hAnsi="宋体" w:eastAsia="宋体" w:cs="宋体"/>
          <w:b w:val="0"/>
          <w:color w:val="auto"/>
          <w:spacing w:val="0"/>
          <w:kern w:val="0"/>
          <w:sz w:val="24"/>
          <w:szCs w:val="24"/>
          <w:highlight w:val="none"/>
          <w:lang w:val="en-US" w:eastAsia="zh-CN" w:bidi="ar-SA"/>
        </w:rPr>
        <w:t>万元整。</w:t>
      </w:r>
    </w:p>
    <w:p w14:paraId="698AEDC4">
      <w:pPr>
        <w:widowControl/>
        <w:numPr>
          <w:ilvl w:val="0"/>
          <w:numId w:val="0"/>
        </w:numPr>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szCs w:val="24"/>
          <w:highlight w:val="none"/>
          <w:lang w:val="en-US" w:eastAsia="zh-CN" w:bidi="ar-SA"/>
        </w:rPr>
        <w:t>4.</w:t>
      </w:r>
      <w:r>
        <w:rPr>
          <w:rFonts w:hint="eastAsia" w:ascii="宋体" w:hAnsi="宋体" w:eastAsia="宋体" w:cs="宋体"/>
          <w:color w:val="auto"/>
          <w:kern w:val="0"/>
          <w:sz w:val="24"/>
          <w:highlight w:val="none"/>
        </w:rPr>
        <w:t>采购需求：</w:t>
      </w:r>
    </w:p>
    <w:tbl>
      <w:tblPr>
        <w:tblStyle w:val="43"/>
        <w:tblW w:w="79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5"/>
        <w:gridCol w:w="4505"/>
        <w:gridCol w:w="1159"/>
        <w:gridCol w:w="1146"/>
      </w:tblGrid>
      <w:tr w14:paraId="7B15F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45" w:type="dxa"/>
            <w:vAlign w:val="center"/>
          </w:tcPr>
          <w:p w14:paraId="55AF64CD">
            <w:pPr>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sz w:val="24"/>
                <w:szCs w:val="24"/>
                <w:highlight w:val="none"/>
                <w:vertAlign w:val="baseline"/>
                <w:lang w:eastAsia="zh-CN"/>
              </w:rPr>
            </w:pPr>
            <w:r>
              <w:rPr>
                <w:rFonts w:hint="eastAsia" w:ascii="宋体" w:hAnsi="宋体" w:eastAsia="宋体" w:cs="宋体"/>
                <w:b/>
                <w:bCs/>
                <w:color w:val="auto"/>
                <w:sz w:val="24"/>
                <w:szCs w:val="24"/>
                <w:highlight w:val="none"/>
                <w:vertAlign w:val="baseline"/>
                <w:lang w:eastAsia="zh-CN"/>
              </w:rPr>
              <w:t>序号</w:t>
            </w:r>
          </w:p>
        </w:tc>
        <w:tc>
          <w:tcPr>
            <w:tcW w:w="4505" w:type="dxa"/>
            <w:vAlign w:val="center"/>
          </w:tcPr>
          <w:p w14:paraId="3D26CB40">
            <w:pPr>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sz w:val="24"/>
                <w:szCs w:val="24"/>
                <w:highlight w:val="none"/>
                <w:vertAlign w:val="baseline"/>
                <w:lang w:eastAsia="zh-CN"/>
              </w:rPr>
            </w:pPr>
            <w:r>
              <w:rPr>
                <w:rFonts w:hint="eastAsia" w:ascii="宋体" w:hAnsi="宋体" w:eastAsia="宋体" w:cs="宋体"/>
                <w:b/>
                <w:bCs/>
                <w:color w:val="auto"/>
                <w:sz w:val="24"/>
                <w:szCs w:val="24"/>
                <w:highlight w:val="none"/>
                <w:vertAlign w:val="baseline"/>
                <w:lang w:eastAsia="zh-CN"/>
              </w:rPr>
              <w:t>名称</w:t>
            </w:r>
          </w:p>
        </w:tc>
        <w:tc>
          <w:tcPr>
            <w:tcW w:w="1159" w:type="dxa"/>
            <w:vAlign w:val="center"/>
          </w:tcPr>
          <w:p w14:paraId="58737303">
            <w:pPr>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sz w:val="24"/>
                <w:szCs w:val="24"/>
                <w:highlight w:val="none"/>
                <w:vertAlign w:val="baseline"/>
                <w:lang w:eastAsia="zh-CN"/>
              </w:rPr>
            </w:pPr>
            <w:r>
              <w:rPr>
                <w:rFonts w:hint="eastAsia" w:ascii="宋体" w:hAnsi="宋体" w:eastAsia="宋体" w:cs="宋体"/>
                <w:b/>
                <w:bCs/>
                <w:color w:val="auto"/>
                <w:sz w:val="24"/>
                <w:szCs w:val="24"/>
                <w:highlight w:val="none"/>
                <w:vertAlign w:val="baseline"/>
                <w:lang w:eastAsia="zh-CN"/>
              </w:rPr>
              <w:t>单位</w:t>
            </w:r>
          </w:p>
        </w:tc>
        <w:tc>
          <w:tcPr>
            <w:tcW w:w="1146" w:type="dxa"/>
            <w:vAlign w:val="center"/>
          </w:tcPr>
          <w:p w14:paraId="7D8AF920">
            <w:pPr>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sz w:val="24"/>
                <w:szCs w:val="24"/>
                <w:highlight w:val="none"/>
                <w:vertAlign w:val="baseline"/>
                <w:lang w:eastAsia="zh-CN"/>
              </w:rPr>
            </w:pPr>
            <w:r>
              <w:rPr>
                <w:rFonts w:hint="eastAsia" w:ascii="宋体" w:hAnsi="宋体" w:eastAsia="宋体" w:cs="宋体"/>
                <w:b/>
                <w:bCs/>
                <w:color w:val="auto"/>
                <w:sz w:val="24"/>
                <w:szCs w:val="24"/>
                <w:highlight w:val="none"/>
                <w:vertAlign w:val="baseline"/>
                <w:lang w:eastAsia="zh-CN"/>
              </w:rPr>
              <w:t>数量</w:t>
            </w:r>
          </w:p>
        </w:tc>
      </w:tr>
      <w:tr w14:paraId="102C3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45" w:type="dxa"/>
            <w:shd w:val="clear" w:color="auto" w:fill="auto"/>
            <w:vAlign w:val="center"/>
          </w:tcPr>
          <w:p w14:paraId="0CD4E0BF">
            <w:pPr>
              <w:widowControl/>
              <w:jc w:val="center"/>
              <w:rPr>
                <w:rFonts w:hint="eastAsia" w:ascii="宋体" w:hAnsi="宋体" w:eastAsia="宋体" w:cs="宋体"/>
                <w:snapToGrid/>
                <w:color w:val="auto"/>
                <w:kern w:val="0"/>
                <w:sz w:val="24"/>
                <w:szCs w:val="24"/>
                <w:highlight w:val="none"/>
                <w:lang w:val="en-US" w:eastAsia="zh-CN" w:bidi="ar-SA"/>
              </w:rPr>
            </w:pPr>
            <w:r>
              <w:rPr>
                <w:rFonts w:hint="eastAsia" w:ascii="宋体" w:hAnsi="宋体" w:eastAsia="宋体" w:cs="宋体"/>
                <w:snapToGrid/>
                <w:color w:val="auto"/>
                <w:kern w:val="0"/>
                <w:sz w:val="24"/>
                <w:szCs w:val="24"/>
                <w:highlight w:val="none"/>
              </w:rPr>
              <w:t>1</w:t>
            </w:r>
          </w:p>
        </w:tc>
        <w:tc>
          <w:tcPr>
            <w:tcW w:w="4505" w:type="dxa"/>
            <w:shd w:val="clear" w:color="auto" w:fill="auto"/>
            <w:vAlign w:val="center"/>
          </w:tcPr>
          <w:p w14:paraId="2ED78468">
            <w:pPr>
              <w:widowControl/>
              <w:jc w:val="center"/>
              <w:rPr>
                <w:rFonts w:hint="eastAsia" w:ascii="宋体" w:hAnsi="宋体" w:eastAsia="宋体" w:cs="宋体"/>
                <w:snapToGrid/>
                <w:color w:val="auto"/>
                <w:kern w:val="0"/>
                <w:sz w:val="24"/>
                <w:szCs w:val="24"/>
                <w:highlight w:val="none"/>
                <w:lang w:val="en-US" w:eastAsia="zh-CN" w:bidi="ar-SA"/>
              </w:rPr>
            </w:pPr>
            <w:r>
              <w:rPr>
                <w:rFonts w:hint="eastAsia" w:ascii="宋体" w:hAnsi="宋体" w:eastAsia="宋体" w:cs="宋体"/>
                <w:snapToGrid/>
                <w:color w:val="auto"/>
                <w:kern w:val="0"/>
                <w:sz w:val="24"/>
                <w:szCs w:val="24"/>
                <w:highlight w:val="none"/>
              </w:rPr>
              <w:t>AR教学平台</w:t>
            </w:r>
          </w:p>
        </w:tc>
        <w:tc>
          <w:tcPr>
            <w:tcW w:w="1159" w:type="dxa"/>
            <w:shd w:val="clear" w:color="auto" w:fill="auto"/>
            <w:vAlign w:val="center"/>
          </w:tcPr>
          <w:p w14:paraId="7E6C3282">
            <w:pPr>
              <w:widowControl/>
              <w:jc w:val="center"/>
              <w:rPr>
                <w:rFonts w:hint="eastAsia" w:ascii="宋体" w:hAnsi="宋体" w:eastAsia="宋体" w:cs="宋体"/>
                <w:snapToGrid/>
                <w:color w:val="auto"/>
                <w:kern w:val="0"/>
                <w:sz w:val="24"/>
                <w:szCs w:val="24"/>
                <w:highlight w:val="none"/>
                <w:lang w:val="en-US" w:eastAsia="zh-CN" w:bidi="ar-SA"/>
              </w:rPr>
            </w:pPr>
            <w:r>
              <w:rPr>
                <w:rFonts w:hint="eastAsia" w:ascii="宋体" w:hAnsi="宋体" w:eastAsia="宋体" w:cs="宋体"/>
                <w:snapToGrid/>
                <w:color w:val="auto"/>
                <w:kern w:val="0"/>
                <w:sz w:val="24"/>
                <w:szCs w:val="24"/>
                <w:highlight w:val="none"/>
              </w:rPr>
              <w:t>套</w:t>
            </w:r>
          </w:p>
        </w:tc>
        <w:tc>
          <w:tcPr>
            <w:tcW w:w="1146" w:type="dxa"/>
            <w:shd w:val="clear" w:color="auto" w:fill="auto"/>
            <w:vAlign w:val="center"/>
          </w:tcPr>
          <w:p w14:paraId="4B3EAB1D">
            <w:pPr>
              <w:widowControl/>
              <w:jc w:val="center"/>
              <w:rPr>
                <w:rFonts w:hint="eastAsia" w:ascii="宋体" w:hAnsi="宋体" w:eastAsia="宋体" w:cs="宋体"/>
                <w:snapToGrid/>
                <w:color w:val="auto"/>
                <w:kern w:val="0"/>
                <w:sz w:val="24"/>
                <w:szCs w:val="24"/>
                <w:highlight w:val="none"/>
                <w:lang w:val="en-US" w:eastAsia="zh-CN" w:bidi="ar-SA"/>
              </w:rPr>
            </w:pPr>
            <w:r>
              <w:rPr>
                <w:rFonts w:hint="eastAsia" w:ascii="宋体" w:hAnsi="宋体" w:eastAsia="宋体" w:cs="宋体"/>
                <w:snapToGrid/>
                <w:color w:val="auto"/>
                <w:kern w:val="0"/>
                <w:sz w:val="24"/>
                <w:szCs w:val="24"/>
                <w:highlight w:val="none"/>
              </w:rPr>
              <w:t>1</w:t>
            </w:r>
          </w:p>
        </w:tc>
      </w:tr>
      <w:tr w14:paraId="23A4E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45" w:type="dxa"/>
            <w:shd w:val="clear" w:color="auto" w:fill="auto"/>
            <w:vAlign w:val="center"/>
          </w:tcPr>
          <w:p w14:paraId="526DC8F8">
            <w:pPr>
              <w:widowControl/>
              <w:jc w:val="center"/>
              <w:rPr>
                <w:rFonts w:hint="eastAsia" w:ascii="宋体" w:hAnsi="宋体" w:eastAsia="宋体" w:cs="宋体"/>
                <w:snapToGrid/>
                <w:color w:val="auto"/>
                <w:kern w:val="0"/>
                <w:sz w:val="24"/>
                <w:szCs w:val="24"/>
                <w:highlight w:val="none"/>
                <w:lang w:val="en-US" w:eastAsia="zh-CN" w:bidi="ar-SA"/>
              </w:rPr>
            </w:pPr>
            <w:r>
              <w:rPr>
                <w:rFonts w:hint="eastAsia" w:ascii="宋体" w:hAnsi="宋体" w:eastAsia="宋体" w:cs="宋体"/>
                <w:snapToGrid/>
                <w:color w:val="auto"/>
                <w:kern w:val="0"/>
                <w:sz w:val="24"/>
                <w:szCs w:val="24"/>
                <w:highlight w:val="none"/>
              </w:rPr>
              <w:t>2</w:t>
            </w:r>
          </w:p>
        </w:tc>
        <w:tc>
          <w:tcPr>
            <w:tcW w:w="4505" w:type="dxa"/>
            <w:shd w:val="clear" w:color="auto" w:fill="auto"/>
            <w:vAlign w:val="center"/>
          </w:tcPr>
          <w:p w14:paraId="205C134C">
            <w:pPr>
              <w:widowControl/>
              <w:jc w:val="center"/>
              <w:rPr>
                <w:rFonts w:hint="eastAsia" w:ascii="宋体" w:hAnsi="宋体" w:eastAsia="宋体" w:cs="宋体"/>
                <w:snapToGrid/>
                <w:color w:val="auto"/>
                <w:kern w:val="0"/>
                <w:sz w:val="24"/>
                <w:szCs w:val="24"/>
                <w:highlight w:val="none"/>
                <w:lang w:val="en-US" w:eastAsia="zh-CN" w:bidi="ar-SA"/>
              </w:rPr>
            </w:pPr>
            <w:r>
              <w:rPr>
                <w:rFonts w:hint="eastAsia" w:ascii="宋体" w:hAnsi="宋体" w:eastAsia="宋体" w:cs="宋体"/>
                <w:snapToGrid/>
                <w:color w:val="auto"/>
                <w:kern w:val="0"/>
                <w:sz w:val="24"/>
                <w:szCs w:val="24"/>
                <w:highlight w:val="none"/>
              </w:rPr>
              <w:t>AR教学软件</w:t>
            </w:r>
          </w:p>
        </w:tc>
        <w:tc>
          <w:tcPr>
            <w:tcW w:w="1159" w:type="dxa"/>
            <w:shd w:val="clear" w:color="auto" w:fill="auto"/>
            <w:vAlign w:val="center"/>
          </w:tcPr>
          <w:p w14:paraId="61871715">
            <w:pPr>
              <w:widowControl/>
              <w:jc w:val="center"/>
              <w:rPr>
                <w:rFonts w:hint="eastAsia" w:ascii="宋体" w:hAnsi="宋体" w:eastAsia="宋体" w:cs="宋体"/>
                <w:snapToGrid/>
                <w:color w:val="auto"/>
                <w:kern w:val="0"/>
                <w:sz w:val="24"/>
                <w:szCs w:val="24"/>
                <w:highlight w:val="none"/>
                <w:lang w:val="en-US" w:eastAsia="zh-CN" w:bidi="ar-SA"/>
              </w:rPr>
            </w:pPr>
            <w:r>
              <w:rPr>
                <w:rFonts w:hint="eastAsia" w:ascii="宋体" w:hAnsi="宋体" w:eastAsia="宋体" w:cs="宋体"/>
                <w:snapToGrid/>
                <w:color w:val="auto"/>
                <w:kern w:val="0"/>
                <w:sz w:val="24"/>
                <w:szCs w:val="24"/>
                <w:highlight w:val="none"/>
              </w:rPr>
              <w:t>套</w:t>
            </w:r>
          </w:p>
        </w:tc>
        <w:tc>
          <w:tcPr>
            <w:tcW w:w="1146" w:type="dxa"/>
            <w:shd w:val="clear" w:color="auto" w:fill="auto"/>
            <w:vAlign w:val="center"/>
          </w:tcPr>
          <w:p w14:paraId="6B4A3F80">
            <w:pPr>
              <w:widowControl/>
              <w:jc w:val="center"/>
              <w:rPr>
                <w:rFonts w:hint="eastAsia" w:ascii="宋体" w:hAnsi="宋体" w:eastAsia="宋体" w:cs="宋体"/>
                <w:snapToGrid/>
                <w:color w:val="auto"/>
                <w:kern w:val="0"/>
                <w:sz w:val="24"/>
                <w:szCs w:val="24"/>
                <w:highlight w:val="none"/>
                <w:lang w:val="en-US" w:eastAsia="zh-CN" w:bidi="ar-SA"/>
              </w:rPr>
            </w:pPr>
            <w:r>
              <w:rPr>
                <w:rFonts w:hint="eastAsia" w:ascii="宋体" w:hAnsi="宋体" w:eastAsia="宋体" w:cs="宋体"/>
                <w:snapToGrid/>
                <w:color w:val="auto"/>
                <w:kern w:val="0"/>
                <w:sz w:val="24"/>
                <w:szCs w:val="24"/>
                <w:highlight w:val="none"/>
              </w:rPr>
              <w:t>1</w:t>
            </w:r>
          </w:p>
        </w:tc>
      </w:tr>
      <w:tr w14:paraId="59520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45" w:type="dxa"/>
            <w:shd w:val="clear" w:color="auto" w:fill="auto"/>
            <w:vAlign w:val="center"/>
          </w:tcPr>
          <w:p w14:paraId="7AF226C5">
            <w:pPr>
              <w:widowControl/>
              <w:jc w:val="center"/>
              <w:rPr>
                <w:rFonts w:hint="eastAsia" w:ascii="宋体" w:hAnsi="宋体" w:eastAsia="宋体" w:cs="宋体"/>
                <w:snapToGrid/>
                <w:color w:val="auto"/>
                <w:kern w:val="0"/>
                <w:sz w:val="24"/>
                <w:szCs w:val="24"/>
                <w:highlight w:val="none"/>
                <w:lang w:val="en-US" w:eastAsia="zh-CN" w:bidi="ar-SA"/>
              </w:rPr>
            </w:pPr>
            <w:r>
              <w:rPr>
                <w:rFonts w:hint="eastAsia" w:ascii="宋体" w:hAnsi="宋体" w:eastAsia="宋体" w:cs="宋体"/>
                <w:snapToGrid/>
                <w:color w:val="auto"/>
                <w:kern w:val="0"/>
                <w:sz w:val="24"/>
                <w:szCs w:val="24"/>
                <w:highlight w:val="none"/>
              </w:rPr>
              <w:t>3</w:t>
            </w:r>
          </w:p>
        </w:tc>
        <w:tc>
          <w:tcPr>
            <w:tcW w:w="4505" w:type="dxa"/>
            <w:shd w:val="clear" w:color="auto" w:fill="auto"/>
            <w:vAlign w:val="center"/>
          </w:tcPr>
          <w:p w14:paraId="13732C3E">
            <w:pPr>
              <w:widowControl/>
              <w:jc w:val="center"/>
              <w:rPr>
                <w:rFonts w:hint="eastAsia" w:ascii="宋体" w:hAnsi="宋体" w:eastAsia="宋体" w:cs="宋体"/>
                <w:snapToGrid/>
                <w:color w:val="auto"/>
                <w:kern w:val="0"/>
                <w:sz w:val="24"/>
                <w:szCs w:val="24"/>
                <w:highlight w:val="none"/>
                <w:lang w:val="en-US" w:eastAsia="zh-CN" w:bidi="ar-SA"/>
              </w:rPr>
            </w:pPr>
            <w:r>
              <w:rPr>
                <w:rFonts w:hint="eastAsia" w:ascii="宋体" w:hAnsi="宋体" w:eastAsia="宋体" w:cs="宋体"/>
                <w:snapToGrid/>
                <w:color w:val="auto"/>
                <w:kern w:val="0"/>
                <w:sz w:val="24"/>
                <w:szCs w:val="24"/>
                <w:highlight w:val="none"/>
              </w:rPr>
              <w:t>AR教学授课设备</w:t>
            </w:r>
          </w:p>
        </w:tc>
        <w:tc>
          <w:tcPr>
            <w:tcW w:w="1159" w:type="dxa"/>
            <w:shd w:val="clear" w:color="auto" w:fill="auto"/>
            <w:vAlign w:val="center"/>
          </w:tcPr>
          <w:p w14:paraId="0E4632F2">
            <w:pPr>
              <w:widowControl/>
              <w:jc w:val="center"/>
              <w:rPr>
                <w:rFonts w:hint="eastAsia" w:ascii="宋体" w:hAnsi="宋体" w:eastAsia="宋体" w:cs="宋体"/>
                <w:snapToGrid/>
                <w:color w:val="auto"/>
                <w:kern w:val="0"/>
                <w:sz w:val="24"/>
                <w:szCs w:val="24"/>
                <w:highlight w:val="none"/>
                <w:lang w:val="en-US" w:eastAsia="zh-CN" w:bidi="ar-SA"/>
              </w:rPr>
            </w:pPr>
            <w:r>
              <w:rPr>
                <w:rFonts w:hint="eastAsia" w:ascii="宋体" w:hAnsi="宋体" w:eastAsia="宋体" w:cs="宋体"/>
                <w:snapToGrid/>
                <w:color w:val="auto"/>
                <w:kern w:val="0"/>
                <w:sz w:val="24"/>
                <w:szCs w:val="24"/>
                <w:highlight w:val="none"/>
              </w:rPr>
              <w:t>套</w:t>
            </w:r>
          </w:p>
        </w:tc>
        <w:tc>
          <w:tcPr>
            <w:tcW w:w="1146" w:type="dxa"/>
            <w:shd w:val="clear" w:color="auto" w:fill="auto"/>
            <w:vAlign w:val="center"/>
          </w:tcPr>
          <w:p w14:paraId="05AAFD02">
            <w:pPr>
              <w:widowControl/>
              <w:jc w:val="center"/>
              <w:rPr>
                <w:rFonts w:hint="eastAsia" w:ascii="宋体" w:hAnsi="宋体" w:eastAsia="宋体" w:cs="宋体"/>
                <w:snapToGrid/>
                <w:color w:val="auto"/>
                <w:kern w:val="0"/>
                <w:sz w:val="24"/>
                <w:szCs w:val="24"/>
                <w:highlight w:val="none"/>
                <w:lang w:val="en-US" w:eastAsia="zh-CN" w:bidi="ar-SA"/>
              </w:rPr>
            </w:pPr>
            <w:r>
              <w:rPr>
                <w:rFonts w:hint="eastAsia" w:ascii="宋体" w:hAnsi="宋体" w:eastAsia="宋体" w:cs="宋体"/>
                <w:snapToGrid/>
                <w:color w:val="auto"/>
                <w:kern w:val="0"/>
                <w:sz w:val="24"/>
                <w:szCs w:val="24"/>
                <w:highlight w:val="none"/>
              </w:rPr>
              <w:t>1</w:t>
            </w:r>
          </w:p>
        </w:tc>
      </w:tr>
      <w:tr w14:paraId="54E1C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45" w:type="dxa"/>
            <w:shd w:val="clear" w:color="auto" w:fill="auto"/>
            <w:vAlign w:val="center"/>
          </w:tcPr>
          <w:p w14:paraId="6E521827">
            <w:pPr>
              <w:widowControl/>
              <w:jc w:val="center"/>
              <w:rPr>
                <w:rFonts w:hint="eastAsia" w:ascii="宋体" w:hAnsi="宋体" w:eastAsia="宋体" w:cs="宋体"/>
                <w:snapToGrid/>
                <w:color w:val="auto"/>
                <w:kern w:val="0"/>
                <w:sz w:val="24"/>
                <w:szCs w:val="24"/>
                <w:highlight w:val="none"/>
                <w:lang w:val="en-US" w:eastAsia="zh-CN" w:bidi="ar-SA"/>
              </w:rPr>
            </w:pPr>
            <w:r>
              <w:rPr>
                <w:rFonts w:hint="eastAsia" w:ascii="宋体" w:hAnsi="宋体" w:eastAsia="宋体" w:cs="宋体"/>
                <w:snapToGrid/>
                <w:color w:val="auto"/>
                <w:kern w:val="0"/>
                <w:sz w:val="24"/>
                <w:szCs w:val="24"/>
                <w:highlight w:val="none"/>
              </w:rPr>
              <w:t>4</w:t>
            </w:r>
          </w:p>
        </w:tc>
        <w:tc>
          <w:tcPr>
            <w:tcW w:w="4505" w:type="dxa"/>
            <w:shd w:val="clear" w:color="auto" w:fill="auto"/>
            <w:vAlign w:val="center"/>
          </w:tcPr>
          <w:p w14:paraId="2767A0E2">
            <w:pPr>
              <w:widowControl/>
              <w:jc w:val="center"/>
              <w:rPr>
                <w:rFonts w:hint="eastAsia" w:ascii="宋体" w:hAnsi="宋体" w:eastAsia="宋体" w:cs="宋体"/>
                <w:snapToGrid/>
                <w:color w:val="auto"/>
                <w:kern w:val="0"/>
                <w:sz w:val="24"/>
                <w:szCs w:val="24"/>
                <w:highlight w:val="none"/>
                <w:lang w:val="en-US" w:eastAsia="zh-CN" w:bidi="ar-SA"/>
              </w:rPr>
            </w:pPr>
            <w:r>
              <w:rPr>
                <w:rFonts w:hint="eastAsia" w:ascii="宋体" w:hAnsi="宋体" w:eastAsia="宋体" w:cs="宋体"/>
                <w:snapToGrid/>
                <w:color w:val="auto"/>
                <w:kern w:val="0"/>
                <w:sz w:val="24"/>
                <w:szCs w:val="24"/>
                <w:highlight w:val="none"/>
              </w:rPr>
              <w:t>交互体验设备</w:t>
            </w:r>
          </w:p>
        </w:tc>
        <w:tc>
          <w:tcPr>
            <w:tcW w:w="1159" w:type="dxa"/>
            <w:shd w:val="clear" w:color="auto" w:fill="auto"/>
            <w:vAlign w:val="center"/>
          </w:tcPr>
          <w:p w14:paraId="2E827FBB">
            <w:pPr>
              <w:widowControl/>
              <w:jc w:val="center"/>
              <w:rPr>
                <w:rFonts w:hint="eastAsia" w:ascii="宋体" w:hAnsi="宋体" w:eastAsia="宋体" w:cs="宋体"/>
                <w:snapToGrid/>
                <w:color w:val="auto"/>
                <w:kern w:val="0"/>
                <w:sz w:val="24"/>
                <w:szCs w:val="24"/>
                <w:highlight w:val="none"/>
                <w:lang w:val="en-US" w:eastAsia="zh-CN" w:bidi="ar-SA"/>
              </w:rPr>
            </w:pPr>
            <w:r>
              <w:rPr>
                <w:rFonts w:hint="eastAsia" w:ascii="宋体" w:hAnsi="宋体" w:eastAsia="宋体" w:cs="宋体"/>
                <w:snapToGrid/>
                <w:color w:val="auto"/>
                <w:kern w:val="0"/>
                <w:sz w:val="24"/>
                <w:szCs w:val="24"/>
                <w:highlight w:val="none"/>
              </w:rPr>
              <w:t>套</w:t>
            </w:r>
          </w:p>
        </w:tc>
        <w:tc>
          <w:tcPr>
            <w:tcW w:w="1146" w:type="dxa"/>
            <w:shd w:val="clear" w:color="auto" w:fill="auto"/>
            <w:vAlign w:val="center"/>
          </w:tcPr>
          <w:p w14:paraId="099EE8E1">
            <w:pPr>
              <w:widowControl/>
              <w:jc w:val="center"/>
              <w:rPr>
                <w:rFonts w:hint="eastAsia" w:ascii="宋体" w:hAnsi="宋体" w:eastAsia="宋体" w:cs="宋体"/>
                <w:snapToGrid/>
                <w:color w:val="auto"/>
                <w:kern w:val="0"/>
                <w:sz w:val="24"/>
                <w:szCs w:val="24"/>
                <w:highlight w:val="none"/>
                <w:lang w:val="en-US" w:eastAsia="zh-CN" w:bidi="ar-SA"/>
              </w:rPr>
            </w:pPr>
            <w:r>
              <w:rPr>
                <w:rFonts w:hint="eastAsia" w:ascii="宋体" w:hAnsi="宋体" w:eastAsia="宋体" w:cs="宋体"/>
                <w:snapToGrid/>
                <w:color w:val="auto"/>
                <w:kern w:val="0"/>
                <w:sz w:val="24"/>
                <w:szCs w:val="24"/>
                <w:highlight w:val="none"/>
              </w:rPr>
              <w:t>2</w:t>
            </w:r>
            <w:r>
              <w:rPr>
                <w:rFonts w:hint="eastAsia" w:ascii="宋体" w:hAnsi="宋体" w:cs="宋体"/>
                <w:snapToGrid/>
                <w:color w:val="auto"/>
                <w:kern w:val="0"/>
                <w:sz w:val="24"/>
                <w:szCs w:val="24"/>
                <w:highlight w:val="none"/>
                <w:lang w:val="en-US" w:eastAsia="zh-CN"/>
              </w:rPr>
              <w:t>0</w:t>
            </w:r>
          </w:p>
        </w:tc>
      </w:tr>
      <w:tr w14:paraId="4ABD2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45" w:type="dxa"/>
            <w:shd w:val="clear" w:color="auto" w:fill="auto"/>
            <w:vAlign w:val="center"/>
          </w:tcPr>
          <w:p w14:paraId="06954200">
            <w:pPr>
              <w:widowControl/>
              <w:jc w:val="center"/>
              <w:rPr>
                <w:rFonts w:hint="eastAsia" w:ascii="宋体" w:hAnsi="宋体" w:eastAsia="宋体" w:cs="宋体"/>
                <w:snapToGrid/>
                <w:color w:val="auto"/>
                <w:kern w:val="0"/>
                <w:sz w:val="24"/>
                <w:szCs w:val="24"/>
                <w:highlight w:val="none"/>
                <w:lang w:val="en-US" w:eastAsia="zh-CN" w:bidi="ar-SA"/>
              </w:rPr>
            </w:pPr>
            <w:r>
              <w:rPr>
                <w:rFonts w:hint="eastAsia" w:ascii="宋体" w:hAnsi="宋体" w:eastAsia="宋体" w:cs="宋体"/>
                <w:snapToGrid/>
                <w:color w:val="auto"/>
                <w:kern w:val="0"/>
                <w:sz w:val="24"/>
                <w:szCs w:val="24"/>
                <w:highlight w:val="none"/>
                <w:lang w:val="en-US" w:eastAsia="zh-CN"/>
              </w:rPr>
              <w:t>5</w:t>
            </w:r>
          </w:p>
        </w:tc>
        <w:tc>
          <w:tcPr>
            <w:tcW w:w="4505" w:type="dxa"/>
            <w:shd w:val="clear" w:color="auto" w:fill="auto"/>
            <w:vAlign w:val="center"/>
          </w:tcPr>
          <w:p w14:paraId="5CA705A4">
            <w:pPr>
              <w:widowControl/>
              <w:jc w:val="center"/>
              <w:rPr>
                <w:rFonts w:hint="eastAsia" w:ascii="宋体" w:hAnsi="宋体" w:eastAsia="宋体" w:cs="宋体"/>
                <w:snapToGrid/>
                <w:color w:val="auto"/>
                <w:kern w:val="0"/>
                <w:sz w:val="24"/>
                <w:szCs w:val="24"/>
                <w:highlight w:val="none"/>
                <w:lang w:val="en-US" w:eastAsia="zh-CN" w:bidi="ar-SA"/>
              </w:rPr>
            </w:pPr>
            <w:r>
              <w:rPr>
                <w:rFonts w:hint="eastAsia" w:ascii="宋体" w:hAnsi="宋体" w:eastAsia="宋体" w:cs="宋体"/>
                <w:snapToGrid/>
                <w:color w:val="auto"/>
                <w:kern w:val="0"/>
                <w:sz w:val="24"/>
                <w:szCs w:val="24"/>
                <w:highlight w:val="none"/>
              </w:rPr>
              <w:t>无线AP</w:t>
            </w:r>
          </w:p>
        </w:tc>
        <w:tc>
          <w:tcPr>
            <w:tcW w:w="1159" w:type="dxa"/>
            <w:shd w:val="clear" w:color="auto" w:fill="auto"/>
            <w:vAlign w:val="center"/>
          </w:tcPr>
          <w:p w14:paraId="2C62A219">
            <w:pPr>
              <w:widowControl/>
              <w:jc w:val="center"/>
              <w:rPr>
                <w:rFonts w:hint="eastAsia" w:ascii="宋体" w:hAnsi="宋体" w:eastAsia="宋体" w:cs="宋体"/>
                <w:snapToGrid/>
                <w:color w:val="auto"/>
                <w:kern w:val="0"/>
                <w:sz w:val="24"/>
                <w:szCs w:val="24"/>
                <w:highlight w:val="none"/>
                <w:lang w:val="en-US" w:eastAsia="zh-CN" w:bidi="ar-SA"/>
              </w:rPr>
            </w:pPr>
            <w:r>
              <w:rPr>
                <w:rFonts w:hint="eastAsia" w:ascii="宋体" w:hAnsi="宋体" w:eastAsia="宋体" w:cs="宋体"/>
                <w:snapToGrid/>
                <w:color w:val="auto"/>
                <w:kern w:val="0"/>
                <w:sz w:val="24"/>
                <w:szCs w:val="24"/>
                <w:highlight w:val="none"/>
              </w:rPr>
              <w:t>台</w:t>
            </w:r>
          </w:p>
        </w:tc>
        <w:tc>
          <w:tcPr>
            <w:tcW w:w="1146" w:type="dxa"/>
            <w:shd w:val="clear" w:color="auto" w:fill="auto"/>
            <w:vAlign w:val="center"/>
          </w:tcPr>
          <w:p w14:paraId="04365816">
            <w:pPr>
              <w:widowControl/>
              <w:jc w:val="center"/>
              <w:rPr>
                <w:rFonts w:hint="eastAsia" w:ascii="宋体" w:hAnsi="宋体" w:eastAsia="宋体" w:cs="宋体"/>
                <w:snapToGrid/>
                <w:color w:val="auto"/>
                <w:kern w:val="0"/>
                <w:sz w:val="24"/>
                <w:szCs w:val="24"/>
                <w:highlight w:val="none"/>
                <w:lang w:val="en-US" w:eastAsia="zh-CN" w:bidi="ar-SA"/>
              </w:rPr>
            </w:pPr>
            <w:r>
              <w:rPr>
                <w:rFonts w:hint="eastAsia" w:ascii="宋体" w:hAnsi="宋体" w:eastAsia="宋体" w:cs="宋体"/>
                <w:snapToGrid/>
                <w:color w:val="auto"/>
                <w:kern w:val="0"/>
                <w:sz w:val="24"/>
                <w:szCs w:val="24"/>
                <w:highlight w:val="none"/>
                <w:lang w:val="en-US" w:eastAsia="zh-CN"/>
              </w:rPr>
              <w:t>4</w:t>
            </w:r>
          </w:p>
        </w:tc>
      </w:tr>
      <w:tr w14:paraId="48D49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45" w:type="dxa"/>
            <w:shd w:val="clear" w:color="auto" w:fill="auto"/>
            <w:vAlign w:val="center"/>
          </w:tcPr>
          <w:p w14:paraId="660934C6">
            <w:pPr>
              <w:widowControl/>
              <w:jc w:val="center"/>
              <w:rPr>
                <w:rFonts w:hint="eastAsia" w:ascii="宋体" w:hAnsi="宋体" w:eastAsia="宋体" w:cs="宋体"/>
                <w:snapToGrid/>
                <w:color w:val="auto"/>
                <w:kern w:val="0"/>
                <w:sz w:val="24"/>
                <w:szCs w:val="24"/>
                <w:highlight w:val="none"/>
                <w:lang w:val="en-US" w:eastAsia="zh-CN" w:bidi="ar-SA"/>
              </w:rPr>
            </w:pPr>
            <w:r>
              <w:rPr>
                <w:rFonts w:hint="eastAsia" w:ascii="宋体" w:hAnsi="宋体" w:eastAsia="宋体" w:cs="宋体"/>
                <w:snapToGrid/>
                <w:color w:val="auto"/>
                <w:kern w:val="0"/>
                <w:sz w:val="24"/>
                <w:szCs w:val="24"/>
                <w:highlight w:val="none"/>
                <w:lang w:val="en-US" w:eastAsia="zh-CN"/>
              </w:rPr>
              <w:t>6</w:t>
            </w:r>
          </w:p>
        </w:tc>
        <w:tc>
          <w:tcPr>
            <w:tcW w:w="4505" w:type="dxa"/>
            <w:shd w:val="clear" w:color="auto" w:fill="auto"/>
            <w:vAlign w:val="center"/>
          </w:tcPr>
          <w:p w14:paraId="35B9AD8E">
            <w:pPr>
              <w:widowControl/>
              <w:jc w:val="center"/>
              <w:rPr>
                <w:rFonts w:hint="eastAsia" w:ascii="宋体" w:hAnsi="宋体" w:eastAsia="宋体" w:cs="宋体"/>
                <w:snapToGrid/>
                <w:color w:val="auto"/>
                <w:kern w:val="0"/>
                <w:sz w:val="24"/>
                <w:szCs w:val="24"/>
                <w:highlight w:val="none"/>
                <w:lang w:val="en-US" w:eastAsia="zh-CN" w:bidi="ar-SA"/>
              </w:rPr>
            </w:pPr>
            <w:r>
              <w:rPr>
                <w:rFonts w:hint="eastAsia" w:ascii="宋体" w:hAnsi="宋体" w:eastAsia="宋体" w:cs="宋体"/>
                <w:snapToGrid/>
                <w:color w:val="auto"/>
                <w:kern w:val="0"/>
                <w:sz w:val="24"/>
                <w:szCs w:val="24"/>
                <w:highlight w:val="none"/>
              </w:rPr>
              <w:t>24口PoE交换机</w:t>
            </w:r>
          </w:p>
        </w:tc>
        <w:tc>
          <w:tcPr>
            <w:tcW w:w="1159" w:type="dxa"/>
            <w:shd w:val="clear" w:color="auto" w:fill="auto"/>
            <w:vAlign w:val="center"/>
          </w:tcPr>
          <w:p w14:paraId="17EBD068">
            <w:pPr>
              <w:widowControl/>
              <w:jc w:val="center"/>
              <w:rPr>
                <w:rFonts w:hint="eastAsia" w:ascii="宋体" w:hAnsi="宋体" w:eastAsia="宋体" w:cs="宋体"/>
                <w:snapToGrid/>
                <w:color w:val="auto"/>
                <w:kern w:val="0"/>
                <w:sz w:val="24"/>
                <w:szCs w:val="24"/>
                <w:highlight w:val="none"/>
                <w:lang w:val="en-US" w:eastAsia="zh-CN" w:bidi="ar-SA"/>
              </w:rPr>
            </w:pPr>
            <w:r>
              <w:rPr>
                <w:rFonts w:hint="eastAsia" w:ascii="宋体" w:hAnsi="宋体" w:eastAsia="宋体" w:cs="宋体"/>
                <w:snapToGrid/>
                <w:color w:val="auto"/>
                <w:kern w:val="0"/>
                <w:sz w:val="24"/>
                <w:szCs w:val="24"/>
                <w:highlight w:val="none"/>
              </w:rPr>
              <w:t>台</w:t>
            </w:r>
          </w:p>
        </w:tc>
        <w:tc>
          <w:tcPr>
            <w:tcW w:w="1146" w:type="dxa"/>
            <w:shd w:val="clear" w:color="auto" w:fill="auto"/>
            <w:vAlign w:val="center"/>
          </w:tcPr>
          <w:p w14:paraId="1EBD8632">
            <w:pPr>
              <w:widowControl/>
              <w:jc w:val="center"/>
              <w:rPr>
                <w:rFonts w:hint="eastAsia" w:ascii="宋体" w:hAnsi="宋体" w:eastAsia="宋体" w:cs="宋体"/>
                <w:snapToGrid/>
                <w:color w:val="auto"/>
                <w:kern w:val="0"/>
                <w:sz w:val="24"/>
                <w:szCs w:val="24"/>
                <w:highlight w:val="none"/>
                <w:lang w:val="en-US" w:eastAsia="zh-CN" w:bidi="ar-SA"/>
              </w:rPr>
            </w:pPr>
            <w:r>
              <w:rPr>
                <w:rFonts w:hint="eastAsia" w:ascii="宋体" w:hAnsi="宋体" w:eastAsia="宋体" w:cs="宋体"/>
                <w:snapToGrid/>
                <w:color w:val="auto"/>
                <w:kern w:val="0"/>
                <w:sz w:val="24"/>
                <w:szCs w:val="24"/>
                <w:highlight w:val="none"/>
              </w:rPr>
              <w:t>1</w:t>
            </w:r>
          </w:p>
        </w:tc>
      </w:tr>
      <w:tr w14:paraId="07218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55" w:type="dxa"/>
            <w:gridSpan w:val="4"/>
            <w:shd w:val="clear" w:color="auto" w:fill="auto"/>
            <w:vAlign w:val="center"/>
          </w:tcPr>
          <w:p w14:paraId="0CDD559C">
            <w:pPr>
              <w:widowControl/>
              <w:jc w:val="center"/>
              <w:rPr>
                <w:rFonts w:hint="eastAsia" w:ascii="宋体" w:hAnsi="宋体" w:eastAsia="宋体" w:cs="宋体"/>
                <w:snapToGrid/>
                <w:color w:val="auto"/>
                <w:kern w:val="0"/>
                <w:sz w:val="24"/>
                <w:szCs w:val="24"/>
                <w:highlight w:val="none"/>
                <w:lang w:val="en-US" w:eastAsia="zh-CN"/>
              </w:rPr>
            </w:pPr>
            <w:r>
              <w:rPr>
                <w:rFonts w:hint="eastAsia" w:ascii="宋体" w:hAnsi="宋体" w:eastAsia="宋体" w:cs="宋体"/>
                <w:b/>
                <w:bCs/>
                <w:snapToGrid/>
                <w:color w:val="auto"/>
                <w:kern w:val="0"/>
                <w:sz w:val="24"/>
                <w:szCs w:val="24"/>
                <w:highlight w:val="none"/>
                <w:lang w:val="en-US" w:eastAsia="zh-CN"/>
              </w:rPr>
              <w:t>合计：</w:t>
            </w:r>
            <w:r>
              <w:rPr>
                <w:rFonts w:hint="eastAsia" w:ascii="宋体" w:hAnsi="宋体" w:eastAsia="宋体" w:cs="宋体"/>
                <w:b/>
                <w:bCs/>
                <w:color w:val="auto"/>
                <w:spacing w:val="0"/>
                <w:kern w:val="0"/>
                <w:sz w:val="24"/>
                <w:szCs w:val="24"/>
                <w:highlight w:val="none"/>
                <w:lang w:val="en-US" w:eastAsia="zh-CN" w:bidi="ar-SA"/>
              </w:rPr>
              <w:t>600000.00元</w:t>
            </w:r>
          </w:p>
        </w:tc>
      </w:tr>
    </w:tbl>
    <w:p w14:paraId="5EA80558">
      <w:pPr>
        <w:spacing w:line="480" w:lineRule="exact"/>
        <w:ind w:firstLine="480" w:firstLineChars="200"/>
        <w:rPr>
          <w:rFonts w:hint="eastAsia" w:ascii="宋体" w:hAnsi="宋体" w:eastAsia="宋体" w:cs="宋体"/>
          <w:color w:val="auto"/>
          <w:sz w:val="24"/>
          <w:szCs w:val="21"/>
          <w:highlight w:val="none"/>
          <w:lang w:eastAsia="zh-CN"/>
        </w:rPr>
      </w:pPr>
      <w:r>
        <w:rPr>
          <w:rFonts w:hint="eastAsia" w:ascii="宋体" w:hAnsi="宋体" w:eastAsia="宋体" w:cs="宋体"/>
          <w:color w:val="auto"/>
          <w:kern w:val="2"/>
          <w:sz w:val="24"/>
          <w:szCs w:val="21"/>
          <w:highlight w:val="none"/>
          <w:lang w:val="en-US" w:eastAsia="zh-CN" w:bidi="ar-SA"/>
        </w:rPr>
        <w:t>5.</w:t>
      </w:r>
      <w:r>
        <w:rPr>
          <w:rFonts w:hint="eastAsia" w:ascii="宋体" w:hAnsi="宋体" w:eastAsia="宋体" w:cs="宋体"/>
          <w:color w:val="auto"/>
          <w:sz w:val="24"/>
          <w:szCs w:val="21"/>
          <w:highlight w:val="none"/>
        </w:rPr>
        <w:t>合同履行期限：</w:t>
      </w:r>
      <w:r>
        <w:rPr>
          <w:rFonts w:hint="eastAsia" w:ascii="宋体" w:hAnsi="宋体" w:eastAsia="宋体" w:cs="宋体"/>
          <w:color w:val="auto"/>
          <w:kern w:val="0"/>
          <w:sz w:val="24"/>
          <w:highlight w:val="none"/>
          <w:lang w:eastAsia="zh-CN"/>
        </w:rPr>
        <w:t>自合同签订之日起90个日历天内完成实施</w:t>
      </w:r>
      <w:r>
        <w:rPr>
          <w:rFonts w:hint="eastAsia" w:ascii="宋体" w:hAnsi="宋体" w:eastAsia="宋体" w:cs="宋体"/>
          <w:color w:val="auto"/>
          <w:kern w:val="0"/>
          <w:sz w:val="24"/>
          <w:highlight w:val="none"/>
          <w:lang w:val="en-US" w:eastAsia="zh-CN"/>
        </w:rPr>
        <w:t>并交付使用</w:t>
      </w:r>
      <w:r>
        <w:rPr>
          <w:rFonts w:hint="eastAsia" w:ascii="宋体" w:hAnsi="宋体" w:eastAsia="宋体" w:cs="宋体"/>
          <w:color w:val="auto"/>
          <w:kern w:val="0"/>
          <w:sz w:val="24"/>
          <w:highlight w:val="none"/>
          <w:lang w:eastAsia="zh-CN"/>
        </w:rPr>
        <w:t>。</w:t>
      </w:r>
    </w:p>
    <w:p w14:paraId="1F9E8B94">
      <w:pPr>
        <w:spacing w:line="480" w:lineRule="exact"/>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6.本项目（不）接受联合体投标。</w:t>
      </w:r>
    </w:p>
    <w:p w14:paraId="141B8751">
      <w:pPr>
        <w:rPr>
          <w:rFonts w:hint="eastAsia" w:ascii="宋体" w:hAnsi="宋体" w:eastAsia="宋体" w:cs="宋体"/>
          <w:b/>
          <w:bCs/>
          <w:color w:val="auto"/>
          <w:kern w:val="0"/>
          <w:sz w:val="24"/>
          <w:highlight w:val="none"/>
          <w:lang w:val="en-US" w:eastAsia="zh-CN"/>
        </w:rPr>
      </w:pPr>
      <w:bookmarkStart w:id="165" w:name="_Toc18301"/>
      <w:bookmarkStart w:id="166" w:name="_Toc32245"/>
      <w:r>
        <w:rPr>
          <w:rFonts w:hint="eastAsia" w:ascii="宋体" w:hAnsi="宋体" w:eastAsia="宋体" w:cs="宋体"/>
          <w:b/>
          <w:bCs/>
          <w:color w:val="auto"/>
          <w:kern w:val="0"/>
          <w:sz w:val="24"/>
          <w:highlight w:val="none"/>
          <w:lang w:val="en-US" w:eastAsia="zh-CN"/>
        </w:rPr>
        <w:br w:type="page"/>
      </w:r>
    </w:p>
    <w:p w14:paraId="0BCD831F">
      <w:pPr>
        <w:autoSpaceDE w:val="0"/>
        <w:autoSpaceDN w:val="0"/>
        <w:adjustRightInd w:val="0"/>
        <w:spacing w:line="360" w:lineRule="auto"/>
        <w:outlineLvl w:val="1"/>
        <w:rPr>
          <w:rFonts w:hint="eastAsia" w:ascii="宋体" w:hAnsi="宋体" w:eastAsia="宋体" w:cs="宋体"/>
          <w:color w:val="auto"/>
          <w:sz w:val="24"/>
          <w:highlight w:val="none"/>
          <w:lang w:val="en-US" w:eastAsia="zh-CN"/>
        </w:rPr>
      </w:pPr>
      <w:bookmarkStart w:id="167" w:name="_Toc25310"/>
      <w:bookmarkStart w:id="168" w:name="_Toc3192"/>
      <w:r>
        <w:rPr>
          <w:rFonts w:hint="eastAsia" w:ascii="宋体" w:hAnsi="宋体" w:eastAsia="宋体" w:cs="宋体"/>
          <w:b/>
          <w:bCs/>
          <w:color w:val="auto"/>
          <w:kern w:val="0"/>
          <w:sz w:val="24"/>
          <w:highlight w:val="none"/>
          <w:lang w:val="en-US" w:eastAsia="zh-CN"/>
        </w:rPr>
        <w:t>二</w:t>
      </w:r>
      <w:r>
        <w:rPr>
          <w:rFonts w:hint="eastAsia" w:ascii="宋体" w:hAnsi="宋体" w:eastAsia="宋体" w:cs="宋体"/>
          <w:b/>
          <w:bCs/>
          <w:color w:val="auto"/>
          <w:kern w:val="0"/>
          <w:sz w:val="24"/>
          <w:highlight w:val="none"/>
        </w:rPr>
        <w:t>、</w:t>
      </w:r>
      <w:bookmarkEnd w:id="165"/>
      <w:bookmarkEnd w:id="166"/>
      <w:bookmarkEnd w:id="167"/>
      <w:r>
        <w:rPr>
          <w:rFonts w:hint="eastAsia" w:ascii="宋体" w:hAnsi="宋体" w:eastAsia="宋体" w:cs="宋体"/>
          <w:b/>
          <w:bCs/>
          <w:color w:val="auto"/>
          <w:kern w:val="0"/>
          <w:sz w:val="24"/>
          <w:highlight w:val="none"/>
          <w:lang w:val="en-US" w:eastAsia="zh-CN"/>
        </w:rPr>
        <w:t>采购内容</w:t>
      </w:r>
      <w:bookmarkEnd w:id="168"/>
    </w:p>
    <w:p w14:paraId="40BD4B08">
      <w:pPr>
        <w:keepNext w:val="0"/>
        <w:keepLines w:val="0"/>
        <w:pageBreakBefore w:val="0"/>
        <w:widowControl/>
        <w:kinsoku/>
        <w:wordWrap/>
        <w:overflowPunct/>
        <w:topLinePunct w:val="0"/>
        <w:autoSpaceDE/>
        <w:autoSpaceDN/>
        <w:bidi w:val="0"/>
        <w:spacing w:line="360" w:lineRule="auto"/>
        <w:jc w:val="lef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lang w:eastAsia="zh-CN"/>
        </w:rPr>
        <w:t>（</w:t>
      </w:r>
      <w:r>
        <w:rPr>
          <w:rFonts w:hint="eastAsia" w:ascii="宋体" w:hAnsi="宋体" w:eastAsia="宋体" w:cs="宋体"/>
          <w:b/>
          <w:bCs/>
          <w:color w:val="auto"/>
          <w:kern w:val="0"/>
          <w:sz w:val="24"/>
          <w:szCs w:val="24"/>
          <w:highlight w:val="none"/>
          <w:lang w:val="en-US" w:eastAsia="zh-CN"/>
        </w:rPr>
        <w:t>一</w:t>
      </w:r>
      <w:r>
        <w:rPr>
          <w:rFonts w:hint="eastAsia" w:ascii="宋体" w:hAnsi="宋体" w:eastAsia="宋体" w:cs="宋体"/>
          <w:b/>
          <w:bCs/>
          <w:color w:val="auto"/>
          <w:kern w:val="0"/>
          <w:sz w:val="24"/>
          <w:szCs w:val="24"/>
          <w:highlight w:val="none"/>
          <w:lang w:eastAsia="zh-CN"/>
        </w:rPr>
        <w:t>）</w:t>
      </w:r>
      <w:r>
        <w:rPr>
          <w:rFonts w:hint="eastAsia" w:ascii="宋体" w:hAnsi="宋体" w:eastAsia="宋体" w:cs="宋体"/>
          <w:b/>
          <w:bCs/>
          <w:color w:val="auto"/>
          <w:kern w:val="0"/>
          <w:sz w:val="24"/>
          <w:szCs w:val="24"/>
          <w:highlight w:val="none"/>
        </w:rPr>
        <w:t>采购标的需实现的功能或者目标</w:t>
      </w:r>
    </w:p>
    <w:p w14:paraId="4612CEF4">
      <w:pPr>
        <w:keepNext w:val="0"/>
        <w:keepLines w:val="0"/>
        <w:pageBreakBefore w:val="0"/>
        <w:widowControl/>
        <w:kinsoku/>
        <w:wordWrap/>
        <w:overflowPunct/>
        <w:topLinePunct w:val="0"/>
        <w:autoSpaceDE/>
        <w:autoSpaceDN/>
        <w:bidi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本项目围绕</w:t>
      </w:r>
      <w:r>
        <w:rPr>
          <w:rFonts w:hint="eastAsia" w:ascii="宋体" w:hAnsi="宋体" w:eastAsia="宋体" w:cs="宋体"/>
          <w:color w:val="auto"/>
          <w:kern w:val="0"/>
          <w:sz w:val="24"/>
          <w:szCs w:val="24"/>
          <w:highlight w:val="none"/>
          <w:lang w:eastAsia="zh-CN"/>
        </w:rPr>
        <w:t>玉溪职业技术学院（云南省玉溪工业财贸学校）</w:t>
      </w:r>
      <w:r>
        <w:rPr>
          <w:rFonts w:hint="eastAsia" w:ascii="宋体" w:hAnsi="宋体" w:eastAsia="宋体" w:cs="宋体"/>
          <w:color w:val="auto"/>
          <w:kern w:val="0"/>
          <w:sz w:val="24"/>
          <w:szCs w:val="24"/>
          <w:highlight w:val="none"/>
        </w:rPr>
        <w:t>马克思主义学院红色文化建设与思政教学应用需求，通过采购AR教学平台、AR教学软件、AR教学授课设备、交互体验设备及配套无线接入设备，构建集课程教学、资源展示、沉浸式体验、课堂互动、多人协同、教学创作于一体的红色文化数字化教学环境，为红色文化资源展示、思政课程教学、教师授课组织、学生交互体验及教学资源建设提供支撑，为学校思政课程改革提供新思路，并进一步在红色文化传承、学生思政教育体验、教师教学能力提升方面提供有效支撑。</w:t>
      </w:r>
    </w:p>
    <w:p w14:paraId="25EF2FE6">
      <w:pPr>
        <w:keepNext w:val="0"/>
        <w:keepLines w:val="0"/>
        <w:pageBreakBefore w:val="0"/>
        <w:widowControl/>
        <w:kinsoku/>
        <w:wordWrap/>
        <w:overflowPunct/>
        <w:topLinePunct w:val="0"/>
        <w:autoSpaceDE/>
        <w:autoSpaceDN/>
        <w:bidi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本平台纳入学校整体智慧教育生态。</w:t>
      </w:r>
      <w:r>
        <w:rPr>
          <w:rFonts w:hint="eastAsia" w:ascii="宋体" w:hAnsi="宋体" w:eastAsia="宋体" w:cs="宋体"/>
          <w:color w:val="auto"/>
          <w:kern w:val="0"/>
          <w:sz w:val="24"/>
          <w:szCs w:val="24"/>
          <w:highlight w:val="none"/>
          <w:lang w:val="en-US" w:eastAsia="zh-CN"/>
        </w:rPr>
        <w:t>教学、</w:t>
      </w:r>
      <w:r>
        <w:rPr>
          <w:rFonts w:hint="eastAsia" w:ascii="宋体" w:hAnsi="宋体" w:eastAsia="宋体" w:cs="宋体"/>
          <w:color w:val="auto"/>
          <w:kern w:val="0"/>
          <w:sz w:val="24"/>
          <w:szCs w:val="24"/>
          <w:highlight w:val="none"/>
        </w:rPr>
        <w:t>学生</w:t>
      </w:r>
      <w:r>
        <w:rPr>
          <w:rFonts w:hint="eastAsia" w:ascii="宋体" w:hAnsi="宋体" w:eastAsia="宋体" w:cs="宋体"/>
          <w:color w:val="auto"/>
          <w:kern w:val="0"/>
          <w:sz w:val="24"/>
          <w:szCs w:val="24"/>
          <w:highlight w:val="none"/>
          <w:lang w:val="en-US" w:eastAsia="zh-CN"/>
        </w:rPr>
        <w:t>数据</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可</w:t>
      </w:r>
      <w:r>
        <w:rPr>
          <w:rFonts w:hint="eastAsia" w:ascii="宋体" w:hAnsi="宋体" w:eastAsia="宋体" w:cs="宋体"/>
          <w:color w:val="auto"/>
          <w:kern w:val="0"/>
          <w:sz w:val="24"/>
          <w:szCs w:val="24"/>
          <w:highlight w:val="none"/>
        </w:rPr>
        <w:t>自动同步至</w:t>
      </w:r>
      <w:r>
        <w:rPr>
          <w:rFonts w:hint="eastAsia" w:ascii="宋体" w:hAnsi="宋体" w:eastAsia="宋体" w:cs="宋体"/>
          <w:color w:val="auto"/>
          <w:kern w:val="0"/>
          <w:sz w:val="24"/>
          <w:szCs w:val="24"/>
          <w:highlight w:val="none"/>
          <w:lang w:val="en-US" w:eastAsia="zh-CN"/>
        </w:rPr>
        <w:t>教务、学生管理系统</w:t>
      </w:r>
      <w:r>
        <w:rPr>
          <w:rFonts w:hint="eastAsia" w:ascii="宋体" w:hAnsi="宋体" w:eastAsia="宋体" w:cs="宋体"/>
          <w:color w:val="auto"/>
          <w:kern w:val="0"/>
          <w:sz w:val="24"/>
          <w:szCs w:val="24"/>
          <w:highlight w:val="none"/>
        </w:rPr>
        <w:t>。</w:t>
      </w:r>
    </w:p>
    <w:p w14:paraId="1BC11F28">
      <w:pPr>
        <w:keepNext w:val="0"/>
        <w:keepLines w:val="0"/>
        <w:pageBreakBefore w:val="0"/>
        <w:widowControl/>
        <w:kinsoku/>
        <w:wordWrap/>
        <w:overflowPunct/>
        <w:topLinePunct w:val="0"/>
        <w:autoSpaceDE/>
        <w:autoSpaceDN/>
        <w:bidi w:val="0"/>
        <w:spacing w:line="360" w:lineRule="auto"/>
        <w:jc w:val="left"/>
        <w:rPr>
          <w:rFonts w:hint="eastAsia" w:ascii="宋体" w:hAnsi="宋体" w:eastAsia="宋体" w:cs="宋体"/>
          <w:b/>
          <w:bCs/>
          <w:color w:val="auto"/>
          <w:kern w:val="0"/>
          <w:sz w:val="24"/>
          <w:szCs w:val="24"/>
          <w:highlight w:val="none"/>
          <w:lang w:eastAsia="zh-CN"/>
        </w:rPr>
      </w:pPr>
      <w:r>
        <w:rPr>
          <w:rFonts w:hint="eastAsia" w:ascii="宋体" w:hAnsi="宋体" w:eastAsia="宋体" w:cs="宋体"/>
          <w:b/>
          <w:bCs/>
          <w:color w:val="auto"/>
          <w:kern w:val="0"/>
          <w:sz w:val="24"/>
          <w:szCs w:val="24"/>
          <w:highlight w:val="none"/>
          <w:lang w:eastAsia="zh-CN"/>
        </w:rPr>
        <w:t>（</w:t>
      </w:r>
      <w:r>
        <w:rPr>
          <w:rFonts w:hint="eastAsia" w:ascii="宋体" w:hAnsi="宋体" w:eastAsia="宋体" w:cs="宋体"/>
          <w:b/>
          <w:bCs/>
          <w:color w:val="auto"/>
          <w:kern w:val="0"/>
          <w:sz w:val="24"/>
          <w:szCs w:val="24"/>
          <w:highlight w:val="none"/>
          <w:lang w:val="en-US" w:eastAsia="zh-CN"/>
        </w:rPr>
        <w:t>二</w:t>
      </w:r>
      <w:r>
        <w:rPr>
          <w:rFonts w:hint="eastAsia" w:ascii="宋体" w:hAnsi="宋体" w:eastAsia="宋体" w:cs="宋体"/>
          <w:b/>
          <w:bCs/>
          <w:color w:val="auto"/>
          <w:kern w:val="0"/>
          <w:sz w:val="24"/>
          <w:szCs w:val="24"/>
          <w:highlight w:val="none"/>
          <w:lang w:eastAsia="zh-CN"/>
        </w:rPr>
        <w:t>）需执行的相关标准：</w:t>
      </w:r>
    </w:p>
    <w:p w14:paraId="47AE289D">
      <w:pPr>
        <w:keepNext w:val="0"/>
        <w:keepLines w:val="0"/>
        <w:pageBreakBefore w:val="0"/>
        <w:widowControl/>
        <w:kinsoku/>
        <w:wordWrap/>
        <w:overflowPunct/>
        <w:topLinePunct w:val="0"/>
        <w:autoSpaceDE/>
        <w:autoSpaceDN/>
        <w:bidi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1.</w:t>
      </w:r>
      <w:r>
        <w:rPr>
          <w:rFonts w:hint="eastAsia" w:ascii="宋体" w:hAnsi="宋体" w:eastAsia="宋体" w:cs="宋体"/>
          <w:color w:val="auto"/>
          <w:kern w:val="0"/>
          <w:sz w:val="24"/>
          <w:szCs w:val="24"/>
          <w:highlight w:val="none"/>
        </w:rPr>
        <w:t>GB/T 8567-2006 计算机软件文档编制规范</w:t>
      </w:r>
    </w:p>
    <w:p w14:paraId="7628B78B">
      <w:pPr>
        <w:keepNext w:val="0"/>
        <w:keepLines w:val="0"/>
        <w:pageBreakBefore w:val="0"/>
        <w:widowControl/>
        <w:kinsoku/>
        <w:wordWrap/>
        <w:overflowPunct/>
        <w:topLinePunct w:val="0"/>
        <w:autoSpaceDE/>
        <w:autoSpaceDN/>
        <w:bidi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rPr>
        <w:t>GB/T 25000.51-2016 系统与软件工程 系统与软件质量要求和评价（SQuaRE）第51部分：就绪可用软件产品（RUSP）的质量要求和测试细则</w:t>
      </w:r>
    </w:p>
    <w:p w14:paraId="1AE6E068">
      <w:pPr>
        <w:keepNext w:val="0"/>
        <w:keepLines w:val="0"/>
        <w:pageBreakBefore w:val="0"/>
        <w:widowControl/>
        <w:kinsoku/>
        <w:wordWrap/>
        <w:overflowPunct/>
        <w:topLinePunct w:val="0"/>
        <w:autoSpaceDE/>
        <w:autoSpaceDN/>
        <w:bidi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3.</w:t>
      </w:r>
      <w:r>
        <w:rPr>
          <w:rFonts w:hint="eastAsia" w:ascii="宋体" w:hAnsi="宋体" w:eastAsia="宋体" w:cs="宋体"/>
          <w:color w:val="auto"/>
          <w:kern w:val="0"/>
          <w:sz w:val="24"/>
          <w:szCs w:val="24"/>
          <w:highlight w:val="none"/>
        </w:rPr>
        <w:t>GB 40050-2021 网络关键设备安全通用要求</w:t>
      </w:r>
    </w:p>
    <w:p w14:paraId="3EB174F3">
      <w:pPr>
        <w:keepNext w:val="0"/>
        <w:keepLines w:val="0"/>
        <w:pageBreakBefore w:val="0"/>
        <w:widowControl/>
        <w:kinsoku/>
        <w:wordWrap/>
        <w:overflowPunct/>
        <w:topLinePunct w:val="0"/>
        <w:autoSpaceDE/>
        <w:autoSpaceDN/>
        <w:bidi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4.</w:t>
      </w:r>
      <w:r>
        <w:rPr>
          <w:rFonts w:hint="eastAsia" w:ascii="宋体" w:hAnsi="宋体" w:eastAsia="宋体" w:cs="宋体"/>
          <w:color w:val="auto"/>
          <w:kern w:val="0"/>
          <w:sz w:val="24"/>
          <w:szCs w:val="24"/>
          <w:highlight w:val="none"/>
        </w:rPr>
        <w:t>GB/T 41269-2022 网络关键设备安全技术要求 路由器设备</w:t>
      </w:r>
    </w:p>
    <w:p w14:paraId="54E39B20">
      <w:pPr>
        <w:keepNext w:val="0"/>
        <w:keepLines w:val="0"/>
        <w:pageBreakBefore w:val="0"/>
        <w:widowControl/>
        <w:kinsoku/>
        <w:wordWrap/>
        <w:overflowPunct/>
        <w:topLinePunct w:val="0"/>
        <w:autoSpaceDE/>
        <w:autoSpaceDN/>
        <w:bidi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5.</w:t>
      </w:r>
      <w:r>
        <w:rPr>
          <w:rFonts w:hint="eastAsia" w:ascii="宋体" w:hAnsi="宋体" w:eastAsia="宋体" w:cs="宋体"/>
          <w:color w:val="auto"/>
          <w:kern w:val="0"/>
          <w:sz w:val="24"/>
          <w:szCs w:val="24"/>
          <w:highlight w:val="none"/>
        </w:rPr>
        <w:t>GB/T 46240.1-2025 IPv6网络设备安全技术要求和测试方法 第1部分：路由器</w:t>
      </w:r>
    </w:p>
    <w:p w14:paraId="0D184F82">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6.网络安全等级保护二级及以上标准</w:t>
      </w:r>
    </w:p>
    <w:p w14:paraId="0FEFE489">
      <w:pPr>
        <w:keepNext w:val="0"/>
        <w:keepLines w:val="0"/>
        <w:pageBreakBefore w:val="0"/>
        <w:widowControl/>
        <w:kinsoku/>
        <w:wordWrap/>
        <w:overflowPunct/>
        <w:topLinePunct w:val="0"/>
        <w:autoSpaceDE/>
        <w:autoSpaceDN/>
        <w:bidi w:val="0"/>
        <w:spacing w:line="360" w:lineRule="auto"/>
        <w:jc w:val="left"/>
        <w:rPr>
          <w:rFonts w:hint="eastAsia" w:ascii="宋体" w:hAnsi="宋体" w:eastAsia="宋体" w:cs="宋体"/>
          <w:b/>
          <w:bCs/>
          <w:color w:val="auto"/>
          <w:kern w:val="0"/>
          <w:sz w:val="24"/>
          <w:szCs w:val="24"/>
          <w:highlight w:val="none"/>
          <w:lang w:eastAsia="zh-CN"/>
        </w:rPr>
      </w:pPr>
      <w:r>
        <w:rPr>
          <w:rFonts w:hint="eastAsia" w:ascii="宋体" w:hAnsi="宋体" w:eastAsia="宋体" w:cs="宋体"/>
          <w:b/>
          <w:bCs/>
          <w:color w:val="auto"/>
          <w:kern w:val="0"/>
          <w:sz w:val="24"/>
          <w:szCs w:val="24"/>
          <w:highlight w:val="none"/>
          <w:lang w:eastAsia="zh-CN"/>
        </w:rPr>
        <w:t>（</w:t>
      </w:r>
      <w:r>
        <w:rPr>
          <w:rFonts w:hint="eastAsia" w:ascii="宋体" w:hAnsi="宋体" w:eastAsia="宋体" w:cs="宋体"/>
          <w:b/>
          <w:bCs/>
          <w:color w:val="auto"/>
          <w:kern w:val="0"/>
          <w:sz w:val="24"/>
          <w:szCs w:val="24"/>
          <w:highlight w:val="none"/>
          <w:lang w:val="en-US" w:eastAsia="zh-CN"/>
        </w:rPr>
        <w:t>三</w:t>
      </w:r>
      <w:r>
        <w:rPr>
          <w:rFonts w:hint="eastAsia" w:ascii="宋体" w:hAnsi="宋体" w:eastAsia="宋体" w:cs="宋体"/>
          <w:b/>
          <w:bCs/>
          <w:color w:val="auto"/>
          <w:kern w:val="0"/>
          <w:sz w:val="24"/>
          <w:szCs w:val="24"/>
          <w:highlight w:val="none"/>
          <w:lang w:eastAsia="zh-CN"/>
        </w:rPr>
        <w:t>）</w:t>
      </w:r>
      <w:r>
        <w:rPr>
          <w:rFonts w:hint="eastAsia" w:ascii="宋体" w:hAnsi="宋体" w:eastAsia="宋体" w:cs="宋体"/>
          <w:b/>
          <w:bCs/>
          <w:color w:val="auto"/>
          <w:kern w:val="0"/>
          <w:sz w:val="24"/>
          <w:szCs w:val="24"/>
          <w:highlight w:val="none"/>
          <w:lang w:val="en-US" w:eastAsia="zh-CN"/>
        </w:rPr>
        <w:t>质量标准</w:t>
      </w:r>
      <w:r>
        <w:rPr>
          <w:rFonts w:hint="eastAsia" w:ascii="宋体" w:hAnsi="宋体" w:eastAsia="宋体" w:cs="宋体"/>
          <w:b/>
          <w:bCs/>
          <w:color w:val="auto"/>
          <w:kern w:val="0"/>
          <w:sz w:val="24"/>
          <w:szCs w:val="24"/>
          <w:highlight w:val="none"/>
          <w:lang w:eastAsia="zh-CN"/>
        </w:rPr>
        <w:t>：</w:t>
      </w:r>
    </w:p>
    <w:p w14:paraId="3067B1FF">
      <w:pPr>
        <w:keepNext w:val="0"/>
        <w:keepLines w:val="0"/>
        <w:pageBreakBefore w:val="0"/>
        <w:widowControl/>
        <w:kinsoku/>
        <w:wordWrap/>
        <w:overflowPunct/>
        <w:topLinePunct w:val="0"/>
        <w:autoSpaceDE/>
        <w:autoSpaceDN/>
        <w:bidi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严格执行国家、地方及行业现行相关标准、规范要求，符合采购需求及采购人要求。</w:t>
      </w:r>
    </w:p>
    <w:p w14:paraId="7C55B816">
      <w:pPr>
        <w:keepNext w:val="0"/>
        <w:keepLines w:val="0"/>
        <w:pageBreakBefore w:val="0"/>
        <w:widowControl/>
        <w:kinsoku/>
        <w:wordWrap/>
        <w:overflowPunct/>
        <w:topLinePunct w:val="0"/>
        <w:autoSpaceDE/>
        <w:autoSpaceDN/>
        <w:bidi w:val="0"/>
        <w:spacing w:line="360" w:lineRule="auto"/>
        <w:jc w:val="left"/>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（四）、采购标的的数量、采购项目交付或者实施的时间地点：</w:t>
      </w:r>
    </w:p>
    <w:p w14:paraId="7F841AC0">
      <w:pPr>
        <w:keepNext w:val="0"/>
        <w:keepLines w:val="0"/>
        <w:pageBreakBefore w:val="0"/>
        <w:widowControl/>
        <w:kinsoku/>
        <w:wordWrap/>
        <w:overflowPunct/>
        <w:topLinePunct w:val="0"/>
        <w:autoSpaceDE/>
        <w:autoSpaceDN/>
        <w:bidi w:val="0"/>
        <w:spacing w:line="360" w:lineRule="auto"/>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lang w:val="en-US" w:eastAsia="zh-CN"/>
        </w:rPr>
        <w:t>1.</w:t>
      </w:r>
      <w:r>
        <w:rPr>
          <w:rFonts w:hint="eastAsia" w:ascii="宋体" w:hAnsi="宋体" w:eastAsia="宋体" w:cs="宋体"/>
          <w:b w:val="0"/>
          <w:bCs w:val="0"/>
          <w:color w:val="auto"/>
          <w:kern w:val="0"/>
          <w:sz w:val="24"/>
          <w:szCs w:val="24"/>
          <w:highlight w:val="none"/>
          <w:lang w:eastAsia="zh-CN"/>
        </w:rPr>
        <w:t>采购标的的数量：</w:t>
      </w:r>
      <w:r>
        <w:rPr>
          <w:rFonts w:hint="eastAsia" w:ascii="宋体" w:hAnsi="宋体" w:eastAsia="宋体" w:cs="宋体"/>
          <w:b w:val="0"/>
          <w:bCs w:val="0"/>
          <w:color w:val="auto"/>
          <w:kern w:val="0"/>
          <w:sz w:val="24"/>
          <w:szCs w:val="24"/>
          <w:highlight w:val="none"/>
        </w:rPr>
        <w:t>详细见《采购清单》</w:t>
      </w:r>
    </w:p>
    <w:p w14:paraId="0A033436">
      <w:pPr>
        <w:keepNext w:val="0"/>
        <w:keepLines w:val="0"/>
        <w:pageBreakBefore w:val="0"/>
        <w:widowControl/>
        <w:kinsoku/>
        <w:wordWrap/>
        <w:overflowPunct/>
        <w:topLinePunct w:val="0"/>
        <w:autoSpaceDE/>
        <w:autoSpaceDN/>
        <w:bidi w:val="0"/>
        <w:spacing w:line="360" w:lineRule="auto"/>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lang w:val="en-US" w:eastAsia="zh-CN"/>
        </w:rPr>
        <w:t>2.</w:t>
      </w:r>
      <w:r>
        <w:rPr>
          <w:rFonts w:hint="eastAsia" w:ascii="宋体" w:hAnsi="宋体" w:eastAsia="宋体" w:cs="宋体"/>
          <w:b w:val="0"/>
          <w:bCs w:val="0"/>
          <w:color w:val="auto"/>
          <w:kern w:val="0"/>
          <w:sz w:val="24"/>
          <w:szCs w:val="24"/>
          <w:highlight w:val="none"/>
          <w:lang w:eastAsia="zh-CN"/>
        </w:rPr>
        <w:t>项目服务地点：采购人指定地点。</w:t>
      </w:r>
    </w:p>
    <w:p w14:paraId="37F6A3DB">
      <w:pPr>
        <w:keepNext w:val="0"/>
        <w:keepLines w:val="0"/>
        <w:pageBreakBefore w:val="0"/>
        <w:widowControl/>
        <w:kinsoku/>
        <w:wordWrap/>
        <w:overflowPunct/>
        <w:topLinePunct w:val="0"/>
        <w:autoSpaceDE/>
        <w:autoSpaceDN/>
        <w:bidi w:val="0"/>
        <w:spacing w:line="360" w:lineRule="auto"/>
        <w:ind w:firstLine="480" w:firstLineChars="200"/>
        <w:jc w:val="left"/>
        <w:rPr>
          <w:rFonts w:hint="eastAsia" w:ascii="宋体" w:hAnsi="宋体" w:eastAsia="宋体" w:cs="宋体"/>
          <w:b w:val="0"/>
          <w:bCs w:val="0"/>
          <w:color w:val="auto"/>
          <w:kern w:val="0"/>
          <w:sz w:val="24"/>
          <w:szCs w:val="24"/>
          <w:highlight w:val="none"/>
          <w:lang w:eastAsia="zh-CN"/>
        </w:rPr>
      </w:pPr>
      <w:r>
        <w:rPr>
          <w:rFonts w:hint="eastAsia" w:ascii="宋体" w:hAnsi="宋体" w:eastAsia="宋体" w:cs="宋体"/>
          <w:b w:val="0"/>
          <w:bCs w:val="0"/>
          <w:color w:val="auto"/>
          <w:kern w:val="0"/>
          <w:sz w:val="24"/>
          <w:szCs w:val="24"/>
          <w:highlight w:val="none"/>
          <w:lang w:val="en-US" w:eastAsia="zh-CN"/>
        </w:rPr>
        <w:t>3.合同履行期限</w:t>
      </w:r>
      <w:r>
        <w:rPr>
          <w:rFonts w:hint="eastAsia" w:ascii="宋体" w:hAnsi="宋体" w:eastAsia="宋体" w:cs="宋体"/>
          <w:b w:val="0"/>
          <w:bCs w:val="0"/>
          <w:color w:val="auto"/>
          <w:kern w:val="0"/>
          <w:sz w:val="24"/>
          <w:szCs w:val="24"/>
          <w:highlight w:val="none"/>
          <w:lang w:eastAsia="zh-CN"/>
        </w:rPr>
        <w:t>：</w:t>
      </w:r>
      <w:r>
        <w:rPr>
          <w:rFonts w:hint="eastAsia" w:ascii="宋体" w:hAnsi="宋体" w:eastAsia="宋体" w:cs="宋体"/>
          <w:b w:val="0"/>
          <w:bCs w:val="0"/>
          <w:color w:val="auto"/>
          <w:kern w:val="0"/>
          <w:sz w:val="24"/>
          <w:szCs w:val="24"/>
          <w:highlight w:val="none"/>
        </w:rPr>
        <w:t>自合同签订之日起90个日历天内完成实施并交付使用</w:t>
      </w:r>
      <w:r>
        <w:rPr>
          <w:rFonts w:hint="eastAsia" w:ascii="宋体" w:hAnsi="宋体" w:eastAsia="宋体" w:cs="宋体"/>
          <w:b w:val="0"/>
          <w:bCs w:val="0"/>
          <w:color w:val="auto"/>
          <w:kern w:val="0"/>
          <w:sz w:val="24"/>
          <w:szCs w:val="24"/>
          <w:highlight w:val="none"/>
          <w:lang w:eastAsia="zh-CN"/>
        </w:rPr>
        <w:t>。</w:t>
      </w:r>
    </w:p>
    <w:p w14:paraId="0A2EBB6D">
      <w:pPr>
        <w:keepNext w:val="0"/>
        <w:keepLines w:val="0"/>
        <w:pageBreakBefore w:val="0"/>
        <w:widowControl/>
        <w:kinsoku/>
        <w:wordWrap/>
        <w:overflowPunct/>
        <w:topLinePunct w:val="0"/>
        <w:autoSpaceDE/>
        <w:autoSpaceDN/>
        <w:bidi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b w:val="0"/>
          <w:bCs w:val="0"/>
          <w:color w:val="auto"/>
          <w:kern w:val="0"/>
          <w:sz w:val="24"/>
          <w:szCs w:val="24"/>
          <w:highlight w:val="none"/>
          <w:lang w:val="en-US" w:eastAsia="zh-CN"/>
        </w:rPr>
        <w:t>4.</w:t>
      </w:r>
      <w:r>
        <w:rPr>
          <w:rFonts w:hint="eastAsia" w:ascii="宋体" w:hAnsi="宋体" w:eastAsia="宋体" w:cs="宋体"/>
          <w:b w:val="0"/>
          <w:bCs w:val="0"/>
          <w:color w:val="auto"/>
          <w:kern w:val="0"/>
          <w:sz w:val="24"/>
          <w:szCs w:val="24"/>
          <w:highlight w:val="none"/>
          <w:lang w:eastAsia="zh-CN"/>
        </w:rPr>
        <w:t>服务项目范围：</w:t>
      </w:r>
      <w:r>
        <w:rPr>
          <w:rFonts w:hint="eastAsia" w:ascii="宋体" w:hAnsi="宋体" w:eastAsia="宋体" w:cs="宋体"/>
          <w:b w:val="0"/>
          <w:bCs w:val="0"/>
          <w:color w:val="auto"/>
          <w:kern w:val="0"/>
          <w:sz w:val="24"/>
          <w:szCs w:val="24"/>
          <w:highlight w:val="none"/>
        </w:rPr>
        <w:t>包含</w:t>
      </w:r>
      <w:r>
        <w:rPr>
          <w:rFonts w:hint="eastAsia" w:ascii="宋体" w:hAnsi="宋体" w:eastAsia="宋体" w:cs="宋体"/>
          <w:color w:val="auto"/>
          <w:kern w:val="0"/>
          <w:sz w:val="24"/>
          <w:szCs w:val="24"/>
          <w:highlight w:val="none"/>
        </w:rPr>
        <w:t>AR教学平台1套</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含服务器</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、AR教学软件1套</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含服务器</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、AR教学授课设备1套、交互体验设备</w:t>
      </w:r>
      <w:r>
        <w:rPr>
          <w:rFonts w:hint="eastAsia" w:ascii="宋体" w:hAnsi="宋体" w:eastAsia="宋体" w:cs="宋体"/>
          <w:color w:val="auto"/>
          <w:kern w:val="0"/>
          <w:sz w:val="24"/>
          <w:szCs w:val="24"/>
          <w:highlight w:val="none"/>
          <w:lang w:val="en-US" w:eastAsia="zh-CN"/>
        </w:rPr>
        <w:t>2</w:t>
      </w:r>
      <w:r>
        <w:rPr>
          <w:rFonts w:hint="eastAsia" w:ascii="宋体" w:hAnsi="宋体" w:cs="宋体"/>
          <w:color w:val="auto"/>
          <w:kern w:val="0"/>
          <w:sz w:val="24"/>
          <w:szCs w:val="24"/>
          <w:highlight w:val="none"/>
          <w:lang w:val="en-US" w:eastAsia="zh-CN"/>
        </w:rPr>
        <w:t>0</w:t>
      </w:r>
      <w:r>
        <w:rPr>
          <w:rFonts w:hint="eastAsia" w:ascii="宋体" w:hAnsi="宋体" w:eastAsia="宋体" w:cs="宋体"/>
          <w:color w:val="auto"/>
          <w:kern w:val="0"/>
          <w:sz w:val="24"/>
          <w:szCs w:val="24"/>
          <w:highlight w:val="none"/>
        </w:rPr>
        <w:t>套、</w:t>
      </w:r>
      <w:r>
        <w:rPr>
          <w:rFonts w:hint="eastAsia" w:ascii="宋体" w:hAnsi="宋体" w:eastAsia="宋体" w:cs="宋体"/>
          <w:color w:val="auto"/>
          <w:kern w:val="0"/>
          <w:sz w:val="24"/>
          <w:szCs w:val="24"/>
          <w:highlight w:val="none"/>
          <w:lang w:val="en-US" w:eastAsia="zh-CN"/>
        </w:rPr>
        <w:t>无线</w:t>
      </w:r>
      <w:r>
        <w:rPr>
          <w:rFonts w:hint="eastAsia" w:ascii="宋体" w:hAnsi="宋体" w:eastAsia="宋体" w:cs="宋体"/>
          <w:color w:val="auto"/>
          <w:kern w:val="0"/>
          <w:sz w:val="24"/>
          <w:szCs w:val="24"/>
          <w:highlight w:val="none"/>
        </w:rPr>
        <w:t>AP</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4台、24口PoE交换机1台，以及项目所需的供货、安装、调试、培训、验收、售后服务等全部相关内容。</w:t>
      </w:r>
    </w:p>
    <w:p w14:paraId="636EB31E">
      <w:pPr>
        <w:keepNext w:val="0"/>
        <w:keepLines w:val="0"/>
        <w:pageBreakBefore w:val="0"/>
        <w:widowControl/>
        <w:kinsoku/>
        <w:wordWrap/>
        <w:overflowPunct/>
        <w:topLinePunct w:val="0"/>
        <w:autoSpaceDE/>
        <w:autoSpaceDN/>
        <w:bidi w:val="0"/>
        <w:spacing w:line="360" w:lineRule="auto"/>
        <w:jc w:val="left"/>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（五）采购标的需满足的服务标准、期限、效率等要求</w:t>
      </w:r>
    </w:p>
    <w:p w14:paraId="28DA68A8">
      <w:pPr>
        <w:keepNext w:val="0"/>
        <w:keepLines w:val="0"/>
        <w:pageBreakBefore w:val="0"/>
        <w:widowControl/>
        <w:kinsoku/>
        <w:wordWrap/>
        <w:overflowPunct/>
        <w:topLinePunct w:val="0"/>
        <w:autoSpaceDE/>
        <w:autoSpaceDN/>
        <w:bidi w:val="0"/>
        <w:spacing w:line="360" w:lineRule="auto"/>
        <w:ind w:firstLine="480" w:firstLineChars="200"/>
        <w:jc w:val="left"/>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1.服务标准要求：</w:t>
      </w:r>
    </w:p>
    <w:p w14:paraId="2B96014A">
      <w:pPr>
        <w:keepNext w:val="0"/>
        <w:keepLines w:val="0"/>
        <w:pageBreakBefore w:val="0"/>
        <w:widowControl/>
        <w:kinsoku/>
        <w:wordWrap/>
        <w:overflowPunct/>
        <w:topLinePunct w:val="0"/>
        <w:autoSpaceDE/>
        <w:autoSpaceDN/>
        <w:bidi w:val="0"/>
        <w:spacing w:line="360" w:lineRule="auto"/>
        <w:ind w:firstLine="480" w:firstLineChars="200"/>
        <w:jc w:val="left"/>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（1）投标人应指定至少一名项目专属负责人，负责本项目组织实施、沟通协调和服务对接工作。</w:t>
      </w:r>
    </w:p>
    <w:p w14:paraId="34BC3DFD">
      <w:pPr>
        <w:keepNext w:val="0"/>
        <w:keepLines w:val="0"/>
        <w:pageBreakBefore w:val="0"/>
        <w:widowControl/>
        <w:kinsoku/>
        <w:wordWrap/>
        <w:overflowPunct/>
        <w:topLinePunct w:val="0"/>
        <w:autoSpaceDE/>
        <w:autoSpaceDN/>
        <w:bidi w:val="0"/>
        <w:spacing w:line="360" w:lineRule="auto"/>
        <w:ind w:firstLine="480" w:firstLineChars="200"/>
        <w:jc w:val="left"/>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（2）投标人应按采购人要求完成设备供货、软件部署、安装调试、系统联调、试运行、培训及验收等工作，现场测试使用JMeter 5.6测试工具，2</w:t>
      </w:r>
      <w:r>
        <w:rPr>
          <w:rFonts w:hint="eastAsia" w:ascii="宋体" w:hAnsi="宋体" w:cs="宋体"/>
          <w:b w:val="0"/>
          <w:bCs w:val="0"/>
          <w:color w:val="auto"/>
          <w:kern w:val="0"/>
          <w:sz w:val="24"/>
          <w:szCs w:val="24"/>
          <w:highlight w:val="none"/>
          <w:lang w:val="en-US" w:eastAsia="zh-CN"/>
        </w:rPr>
        <w:t>0</w:t>
      </w:r>
      <w:r>
        <w:rPr>
          <w:rFonts w:hint="eastAsia" w:ascii="宋体" w:hAnsi="宋体" w:eastAsia="宋体" w:cs="宋体"/>
          <w:b w:val="0"/>
          <w:bCs w:val="0"/>
          <w:color w:val="auto"/>
          <w:kern w:val="0"/>
          <w:sz w:val="24"/>
          <w:szCs w:val="24"/>
          <w:highlight w:val="none"/>
          <w:lang w:val="en-US" w:eastAsia="zh-CN"/>
        </w:rPr>
        <w:t>用户并发持续30分钟。AR场景加载延迟≤300ms（在1.5TFLOPS算力终端上测试）；支持20人同时在线交互，服务器CPU占用率≤80%；AI数字人响应延迟≤1.5秒（对接公开API时），确保项目交付后能够正常投入使用。</w:t>
      </w:r>
    </w:p>
    <w:p w14:paraId="34A2DF0A">
      <w:pPr>
        <w:keepNext w:val="0"/>
        <w:keepLines w:val="0"/>
        <w:pageBreakBefore w:val="0"/>
        <w:widowControl/>
        <w:kinsoku/>
        <w:wordWrap/>
        <w:overflowPunct/>
        <w:topLinePunct w:val="0"/>
        <w:autoSpaceDE/>
        <w:autoSpaceDN/>
        <w:bidi w:val="0"/>
        <w:spacing w:line="360" w:lineRule="auto"/>
        <w:ind w:firstLine="480" w:firstLineChars="200"/>
        <w:jc w:val="left"/>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（3）投标人应提供产品使用手册、技术手册、维护手册等相关资料。</w:t>
      </w:r>
    </w:p>
    <w:p w14:paraId="67534B16">
      <w:pPr>
        <w:keepNext w:val="0"/>
        <w:keepLines w:val="0"/>
        <w:pageBreakBefore w:val="0"/>
        <w:widowControl/>
        <w:kinsoku/>
        <w:wordWrap/>
        <w:overflowPunct/>
        <w:topLinePunct w:val="0"/>
        <w:autoSpaceDE/>
        <w:autoSpaceDN/>
        <w:bidi w:val="0"/>
        <w:spacing w:line="360" w:lineRule="auto"/>
        <w:ind w:firstLine="480" w:firstLineChars="200"/>
        <w:jc w:val="left"/>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（4）交付服务的质量标准应符合采购人的技术服务质量标准，交付过程应提供安装、调试、培训、使用指导等技术服务。</w:t>
      </w:r>
    </w:p>
    <w:p w14:paraId="01747DA3">
      <w:pPr>
        <w:keepNext w:val="0"/>
        <w:keepLines w:val="0"/>
        <w:pageBreakBefore w:val="0"/>
        <w:widowControl/>
        <w:kinsoku/>
        <w:wordWrap/>
        <w:overflowPunct/>
        <w:topLinePunct w:val="0"/>
        <w:autoSpaceDE/>
        <w:autoSpaceDN/>
        <w:bidi w:val="0"/>
        <w:spacing w:line="360" w:lineRule="auto"/>
        <w:ind w:firstLine="480" w:firstLineChars="200"/>
        <w:jc w:val="left"/>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（5）投标人应确保平台、软件、教师端设备、学生端设备及网络接入设备之间能够协同运行，满足采购清单所列教学应用需求。</w:t>
      </w:r>
    </w:p>
    <w:p w14:paraId="1F319CA2">
      <w:pPr>
        <w:keepNext w:val="0"/>
        <w:keepLines w:val="0"/>
        <w:pageBreakBefore w:val="0"/>
        <w:widowControl/>
        <w:kinsoku/>
        <w:wordWrap/>
        <w:overflowPunct/>
        <w:topLinePunct w:val="0"/>
        <w:autoSpaceDE/>
        <w:autoSpaceDN/>
        <w:bidi w:val="0"/>
        <w:spacing w:line="360" w:lineRule="auto"/>
        <w:ind w:firstLine="480" w:firstLineChars="200"/>
        <w:jc w:val="left"/>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（6）在合同有效期内，应提供必要的技术支持、故障处理、维护和培训服务。</w:t>
      </w:r>
    </w:p>
    <w:p w14:paraId="285844EA">
      <w:pPr>
        <w:keepNext w:val="0"/>
        <w:keepLines w:val="0"/>
        <w:pageBreakBefore w:val="0"/>
        <w:widowControl/>
        <w:kinsoku/>
        <w:wordWrap/>
        <w:overflowPunct/>
        <w:topLinePunct w:val="0"/>
        <w:autoSpaceDE/>
        <w:autoSpaceDN/>
        <w:bidi w:val="0"/>
        <w:spacing w:line="360" w:lineRule="auto"/>
        <w:ind w:firstLine="480" w:firstLineChars="200"/>
        <w:jc w:val="left"/>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（7）教师培训服务：3天线上或线下培训+1年线上技术指导，覆盖平台使用、课程制作、3D创作等。</w:t>
      </w:r>
    </w:p>
    <w:p w14:paraId="34BF3C4D">
      <w:pPr>
        <w:keepNext w:val="0"/>
        <w:keepLines w:val="0"/>
        <w:pageBreakBefore w:val="0"/>
        <w:widowControl/>
        <w:kinsoku/>
        <w:wordWrap/>
        <w:overflowPunct/>
        <w:topLinePunct w:val="0"/>
        <w:autoSpaceDE/>
        <w:autoSpaceDN/>
        <w:bidi w:val="0"/>
        <w:spacing w:line="360" w:lineRule="auto"/>
        <w:jc w:val="left"/>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（六）服务期限要求：</w:t>
      </w:r>
    </w:p>
    <w:p w14:paraId="4D52AE1F">
      <w:pPr>
        <w:keepNext w:val="0"/>
        <w:keepLines w:val="0"/>
        <w:pageBreakBefore w:val="0"/>
        <w:widowControl/>
        <w:kinsoku/>
        <w:wordWrap/>
        <w:overflowPunct/>
        <w:topLinePunct w:val="0"/>
        <w:autoSpaceDE/>
        <w:autoSpaceDN/>
        <w:bidi w:val="0"/>
        <w:spacing w:line="360" w:lineRule="auto"/>
        <w:ind w:firstLine="480" w:firstLineChars="200"/>
        <w:jc w:val="left"/>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本项目质量保证期和售后服务期按采购文件及合同约定执行，自项目验收合格并交付使用之日起计算，质保期为3年</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硬件全保修+软件版本免费升级</w:t>
      </w:r>
      <w:r>
        <w:rPr>
          <w:rFonts w:hint="eastAsia" w:ascii="宋体" w:hAnsi="宋体" w:eastAsia="宋体" w:cs="宋体"/>
          <w:color w:val="auto"/>
          <w:kern w:val="0"/>
          <w:sz w:val="24"/>
          <w:szCs w:val="24"/>
          <w:highlight w:val="none"/>
          <w:lang w:eastAsia="zh-CN"/>
        </w:rPr>
        <w:t>。</w:t>
      </w:r>
    </w:p>
    <w:p w14:paraId="4D61E527">
      <w:pPr>
        <w:keepNext w:val="0"/>
        <w:keepLines w:val="0"/>
        <w:pageBreakBefore w:val="0"/>
        <w:widowControl/>
        <w:kinsoku/>
        <w:wordWrap/>
        <w:overflowPunct/>
        <w:topLinePunct w:val="0"/>
        <w:autoSpaceDE/>
        <w:autoSpaceDN/>
        <w:bidi w:val="0"/>
        <w:spacing w:line="360" w:lineRule="auto"/>
        <w:jc w:val="left"/>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（七）服务效率要求：</w:t>
      </w:r>
    </w:p>
    <w:p w14:paraId="77EEA8BC">
      <w:pPr>
        <w:keepNext w:val="0"/>
        <w:keepLines w:val="0"/>
        <w:pageBreakBefore w:val="0"/>
        <w:widowControl/>
        <w:kinsoku/>
        <w:wordWrap/>
        <w:overflowPunct/>
        <w:topLinePunct w:val="0"/>
        <w:autoSpaceDE/>
        <w:autoSpaceDN/>
        <w:bidi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提供7*24小时服务，如采购人遇到使用及技术问题时，工作日1小时响应、电话咨询不能解决的，</w:t>
      </w:r>
      <w:r>
        <w:rPr>
          <w:rFonts w:hint="eastAsia" w:ascii="宋体" w:hAnsi="宋体" w:eastAsia="宋体" w:cs="宋体"/>
          <w:color w:val="auto"/>
          <w:kern w:val="0"/>
          <w:sz w:val="24"/>
          <w:szCs w:val="24"/>
          <w:highlight w:val="none"/>
          <w:lang w:eastAsia="zh-CN"/>
        </w:rPr>
        <w:t>投标人</w:t>
      </w:r>
      <w:r>
        <w:rPr>
          <w:rFonts w:hint="eastAsia" w:ascii="宋体" w:hAnsi="宋体" w:eastAsia="宋体" w:cs="宋体"/>
          <w:color w:val="auto"/>
          <w:kern w:val="0"/>
          <w:sz w:val="24"/>
          <w:szCs w:val="24"/>
          <w:highlight w:val="none"/>
        </w:rPr>
        <w:t>应在48小时内提供上门服务，在48小时内处理解决，如无法按时处理解决的，需提供解决方案。</w:t>
      </w:r>
    </w:p>
    <w:p w14:paraId="19CC2D75">
      <w:pPr>
        <w:keepNext w:val="0"/>
        <w:keepLines w:val="0"/>
        <w:pageBreakBefore w:val="0"/>
        <w:widowControl/>
        <w:kinsoku/>
        <w:wordWrap/>
        <w:overflowPunct/>
        <w:topLinePunct w:val="0"/>
        <w:autoSpaceDE/>
        <w:autoSpaceDN/>
        <w:bidi w:val="0"/>
        <w:spacing w:line="360" w:lineRule="auto"/>
        <w:jc w:val="left"/>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（八）采购标的的验收标准：</w:t>
      </w:r>
    </w:p>
    <w:p w14:paraId="48F8B067">
      <w:pPr>
        <w:keepNext w:val="0"/>
        <w:keepLines w:val="0"/>
        <w:pageBreakBefore w:val="0"/>
        <w:widowControl/>
        <w:kinsoku/>
        <w:wordWrap/>
        <w:overflowPunct/>
        <w:topLinePunct w:val="0"/>
        <w:autoSpaceDE/>
        <w:autoSpaceDN/>
        <w:bidi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满足采购文件、响应文件、合同及采购人的要求，达到国家及行业相关标准，一次性考核合格；</w:t>
      </w:r>
    </w:p>
    <w:p w14:paraId="07944387">
      <w:pPr>
        <w:keepNext w:val="0"/>
        <w:keepLines w:val="0"/>
        <w:pageBreakBefore w:val="0"/>
        <w:widowControl/>
        <w:kinsoku/>
        <w:wordWrap/>
        <w:overflowPunct/>
        <w:topLinePunct w:val="0"/>
        <w:autoSpaceDE/>
        <w:autoSpaceDN/>
        <w:bidi w:val="0"/>
        <w:spacing w:line="360" w:lineRule="auto"/>
        <w:jc w:val="left"/>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（九）采购标的的其他技术、服务等要求：</w:t>
      </w:r>
    </w:p>
    <w:p w14:paraId="498C6AEE">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 付款方式：</w:t>
      </w:r>
    </w:p>
    <w:p w14:paraId="68F3AF64">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（1）预付款：合同签订生效且收到供应商提供的有效发票后，支付合同总金额的30%。</w:t>
      </w:r>
    </w:p>
    <w:p w14:paraId="68861483">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（2）验收款：项目设备安装调试完毕，通过最终验收（含压力测试及功能验证），且收到有效发票后10个工作日内支付合同总金额的70%。</w:t>
      </w:r>
    </w:p>
    <w:p w14:paraId="3D02C3BD">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 xml:space="preserve">2. </w:t>
      </w:r>
      <w:r>
        <w:rPr>
          <w:rFonts w:hint="eastAsia" w:ascii="宋体" w:hAnsi="宋体" w:eastAsia="宋体" w:cs="宋体"/>
          <w:color w:val="auto"/>
          <w:kern w:val="0"/>
          <w:sz w:val="24"/>
          <w:szCs w:val="24"/>
          <w:highlight w:val="none"/>
          <w:lang w:val="en-US" w:eastAsia="zh-CN"/>
        </w:rPr>
        <w:t>履约保证金：中标人在签订合同前，须向采购人缴纳合同金额5%的履约保证金。履约保证金在验收合格后5个工作日内无息退还。</w:t>
      </w:r>
    </w:p>
    <w:p w14:paraId="726FBD32">
      <w:pPr>
        <w:keepNext w:val="0"/>
        <w:keepLines w:val="0"/>
        <w:pageBreakBefore w:val="0"/>
        <w:widowControl/>
        <w:kinsoku/>
        <w:wordWrap/>
        <w:overflowPunct/>
        <w:topLinePunct w:val="0"/>
        <w:autoSpaceDE/>
        <w:autoSpaceDN/>
        <w:bidi w:val="0"/>
        <w:spacing w:line="360" w:lineRule="auto"/>
        <w:jc w:val="left"/>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（十）系统集成与数据交互要求</w:t>
      </w:r>
    </w:p>
    <w:p w14:paraId="7E5CA161">
      <w:pPr>
        <w:keepNext w:val="0"/>
        <w:keepLines w:val="0"/>
        <w:pageBreakBefore w:val="0"/>
        <w:widowControl/>
        <w:kinsoku/>
        <w:wordWrap/>
        <w:overflowPunct/>
        <w:topLinePunct w:val="0"/>
        <w:autoSpaceDE/>
        <w:autoSpaceDN/>
        <w:bidi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1.</w:t>
      </w:r>
      <w:r>
        <w:rPr>
          <w:rFonts w:hint="eastAsia" w:ascii="宋体" w:hAnsi="宋体" w:eastAsia="宋体" w:cs="宋体"/>
          <w:color w:val="auto"/>
          <w:kern w:val="0"/>
          <w:sz w:val="24"/>
          <w:szCs w:val="24"/>
          <w:highlight w:val="none"/>
        </w:rPr>
        <w:t>统一身份认证：实现与学校现有智慧校园平台的单点登录。</w:t>
      </w:r>
    </w:p>
    <w:p w14:paraId="05EC2693">
      <w:pPr>
        <w:keepNext w:val="0"/>
        <w:keepLines w:val="0"/>
        <w:pageBreakBefore w:val="0"/>
        <w:widowControl/>
        <w:kinsoku/>
        <w:wordWrap/>
        <w:overflowPunct/>
        <w:topLinePunct w:val="0"/>
        <w:autoSpaceDE/>
        <w:autoSpaceDN/>
        <w:bidi w:val="0"/>
        <w:spacing w:line="360" w:lineRule="auto"/>
        <w:ind w:firstLine="480" w:firstLineChars="200"/>
        <w:jc w:val="left"/>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rPr>
        <w:t>数据同步：</w:t>
      </w:r>
      <w:r>
        <w:rPr>
          <w:rFonts w:hint="eastAsia" w:ascii="宋体" w:hAnsi="宋体" w:cs="宋体"/>
          <w:color w:val="auto"/>
          <w:kern w:val="0"/>
          <w:sz w:val="24"/>
          <w:szCs w:val="24"/>
          <w:highlight w:val="none"/>
          <w:lang w:val="en-US" w:eastAsia="zh-CN"/>
        </w:rPr>
        <w:t>（1）</w:t>
      </w:r>
      <w:r>
        <w:rPr>
          <w:rFonts w:hint="eastAsia" w:ascii="宋体" w:hAnsi="宋体" w:eastAsia="宋体" w:cs="宋体"/>
          <w:color w:val="auto"/>
          <w:kern w:val="0"/>
          <w:sz w:val="24"/>
          <w:szCs w:val="24"/>
          <w:highlight w:val="none"/>
        </w:rPr>
        <w:t>须</w:t>
      </w:r>
      <w:r>
        <w:rPr>
          <w:rFonts w:hint="eastAsia" w:ascii="宋体" w:hAnsi="宋体" w:cs="宋体"/>
          <w:color w:val="auto"/>
          <w:kern w:val="0"/>
          <w:sz w:val="24"/>
          <w:szCs w:val="24"/>
          <w:highlight w:val="none"/>
          <w:lang w:val="en-US" w:eastAsia="zh-CN"/>
        </w:rPr>
        <w:t>与学校数据中台（</w:t>
      </w:r>
      <w:r>
        <w:rPr>
          <w:rFonts w:hint="eastAsia" w:ascii="宋体" w:hAnsi="宋体" w:eastAsia="宋体" w:cs="宋体"/>
          <w:color w:val="auto"/>
          <w:kern w:val="0"/>
          <w:sz w:val="24"/>
          <w:szCs w:val="24"/>
          <w:highlight w:val="none"/>
          <w:lang w:val="en-US" w:eastAsia="zh-CN"/>
        </w:rPr>
        <w:t>学校</w:t>
      </w:r>
      <w:r>
        <w:rPr>
          <w:rFonts w:hint="eastAsia" w:ascii="宋体" w:hAnsi="宋体" w:eastAsia="宋体" w:cs="宋体"/>
          <w:color w:val="auto"/>
          <w:kern w:val="0"/>
          <w:sz w:val="24"/>
          <w:szCs w:val="24"/>
          <w:highlight w:val="none"/>
        </w:rPr>
        <w:t>智慧校园</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网站、教务、学生管理等系统</w:t>
      </w:r>
      <w:r>
        <w:rPr>
          <w:rFonts w:hint="eastAsia" w:ascii="宋体" w:hAnsi="宋体" w:cs="宋体"/>
          <w:color w:val="auto"/>
          <w:kern w:val="0"/>
          <w:sz w:val="24"/>
          <w:szCs w:val="24"/>
          <w:highlight w:val="none"/>
          <w:lang w:val="en-US" w:eastAsia="zh-CN"/>
        </w:rPr>
        <w:t>）实现</w:t>
      </w:r>
      <w:r>
        <w:rPr>
          <w:rFonts w:hint="eastAsia" w:ascii="宋体" w:hAnsi="宋体" w:eastAsia="宋体" w:cs="宋体"/>
          <w:color w:val="auto"/>
          <w:kern w:val="0"/>
          <w:sz w:val="24"/>
          <w:szCs w:val="24"/>
          <w:highlight w:val="none"/>
        </w:rPr>
        <w:t>对接</w:t>
      </w:r>
      <w:r>
        <w:rPr>
          <w:rFonts w:hint="eastAsia" w:ascii="宋体" w:hAnsi="宋体" w:cs="宋体"/>
          <w:color w:val="auto"/>
          <w:kern w:val="0"/>
          <w:sz w:val="24"/>
          <w:szCs w:val="24"/>
          <w:highlight w:val="none"/>
          <w:lang w:val="en-US" w:eastAsia="zh-CN"/>
        </w:rPr>
        <w:t>，支持</w:t>
      </w:r>
      <w:r>
        <w:rPr>
          <w:rFonts w:hint="eastAsia" w:ascii="宋体" w:hAnsi="宋体" w:eastAsia="宋体" w:cs="宋体"/>
          <w:color w:val="auto"/>
          <w:kern w:val="0"/>
          <w:sz w:val="24"/>
          <w:szCs w:val="24"/>
          <w:highlight w:val="none"/>
        </w:rPr>
        <w:t>数据同步</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调用</w:t>
      </w:r>
      <w:r>
        <w:rPr>
          <w:rFonts w:hint="eastAsia" w:ascii="宋体" w:hAnsi="宋体" w:eastAsia="宋体" w:cs="宋体"/>
          <w:color w:val="auto"/>
          <w:kern w:val="0"/>
          <w:sz w:val="24"/>
          <w:szCs w:val="24"/>
          <w:highlight w:val="none"/>
          <w:lang w:val="en-US" w:eastAsia="zh-CN"/>
        </w:rPr>
        <w:t>和导出，数据存储在本地服务器</w:t>
      </w:r>
      <w:r>
        <w:rPr>
          <w:rFonts w:hint="eastAsia" w:ascii="宋体" w:hAnsi="宋体" w:eastAsia="宋体" w:cs="宋体"/>
          <w:color w:val="auto"/>
          <w:kern w:val="0"/>
          <w:sz w:val="24"/>
          <w:szCs w:val="24"/>
          <w:highlight w:val="none"/>
        </w:rPr>
        <w:t>。</w:t>
      </w:r>
      <w:r>
        <w:rPr>
          <w:rFonts w:hint="eastAsia" w:ascii="宋体" w:hAnsi="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rPr>
        <w:t>对接范围：仅限基础数据同步（学号/课程/成绩</w:t>
      </w:r>
      <w:r>
        <w:rPr>
          <w:rFonts w:hint="eastAsia" w:ascii="宋体" w:hAnsi="宋体" w:eastAsia="宋体" w:cs="宋体"/>
          <w:color w:val="auto"/>
          <w:kern w:val="0"/>
          <w:sz w:val="24"/>
          <w:szCs w:val="24"/>
          <w:highlight w:val="none"/>
          <w:lang w:val="en-US" w:eastAsia="zh-CN"/>
        </w:rPr>
        <w:t>等</w:t>
      </w:r>
      <w:r>
        <w:rPr>
          <w:rFonts w:hint="eastAsia" w:ascii="宋体" w:hAnsi="宋体" w:eastAsia="宋体" w:cs="宋体"/>
          <w:color w:val="auto"/>
          <w:kern w:val="0"/>
          <w:sz w:val="24"/>
          <w:szCs w:val="24"/>
          <w:highlight w:val="none"/>
        </w:rPr>
        <w:t>），不包含业务逻辑改造</w:t>
      </w:r>
      <w:r>
        <w:rPr>
          <w:rFonts w:hint="eastAsia" w:ascii="宋体" w:hAnsi="宋体" w:eastAsia="宋体" w:cs="宋体"/>
          <w:color w:val="auto"/>
          <w:kern w:val="0"/>
          <w:sz w:val="24"/>
          <w:szCs w:val="24"/>
          <w:highlight w:val="none"/>
          <w:lang w:eastAsia="zh-CN"/>
        </w:rPr>
        <w:t>。</w:t>
      </w:r>
    </w:p>
    <w:p w14:paraId="47731F44">
      <w:pPr>
        <w:keepNext w:val="0"/>
        <w:keepLines w:val="0"/>
        <w:pageBreakBefore w:val="0"/>
        <w:widowControl/>
        <w:kinsoku/>
        <w:wordWrap/>
        <w:overflowPunct/>
        <w:topLinePunct w:val="0"/>
        <w:autoSpaceDE/>
        <w:autoSpaceDN/>
        <w:bidi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3.</w:t>
      </w:r>
      <w:r>
        <w:rPr>
          <w:rFonts w:hint="eastAsia" w:ascii="宋体" w:hAnsi="宋体" w:eastAsia="宋体" w:cs="宋体"/>
          <w:color w:val="auto"/>
          <w:kern w:val="0"/>
          <w:sz w:val="24"/>
          <w:szCs w:val="24"/>
          <w:highlight w:val="none"/>
        </w:rPr>
        <w:t>投标人须承诺：在项目实施阶段，配合学校信息中心完成上述接口的联调</w:t>
      </w:r>
    </w:p>
    <w:p w14:paraId="7AEF0E01">
      <w:pPr>
        <w:keepNext w:val="0"/>
        <w:keepLines w:val="0"/>
        <w:pageBreakBefore w:val="0"/>
        <w:widowControl/>
        <w:kinsoku/>
        <w:wordWrap/>
        <w:overflowPunct/>
        <w:topLinePunct w:val="0"/>
        <w:autoSpaceDE/>
        <w:autoSpaceDN/>
        <w:bidi w:val="0"/>
        <w:spacing w:line="360" w:lineRule="auto"/>
        <w:jc w:val="left"/>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（十一）数据保护要求：</w:t>
      </w:r>
    </w:p>
    <w:p w14:paraId="356AC627">
      <w:pPr>
        <w:keepNext w:val="0"/>
        <w:keepLines w:val="0"/>
        <w:pageBreakBefore w:val="0"/>
        <w:widowControl/>
        <w:kinsoku/>
        <w:wordWrap/>
        <w:overflowPunct/>
        <w:topLinePunct w:val="0"/>
        <w:autoSpaceDE/>
        <w:autoSpaceDN/>
        <w:bidi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1.生物特征数据禁用：系统不得设计需采集学生面部/虹膜/声纹等生物特征的功能模块；</w:t>
      </w:r>
    </w:p>
    <w:p w14:paraId="3E355BBB">
      <w:pPr>
        <w:keepNext w:val="0"/>
        <w:keepLines w:val="0"/>
        <w:pageBreakBefore w:val="0"/>
        <w:widowControl/>
        <w:kinsoku/>
        <w:wordWrap/>
        <w:overflowPunct/>
        <w:topLinePunct w:val="0"/>
        <w:autoSpaceDE/>
        <w:autoSpaceDN/>
        <w:bidi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2.数据存储位置：课堂行为数据（点击轨迹、停留时长等）必须存储于学校本地服务器，禁止自动上传至公有云；</w:t>
      </w:r>
    </w:p>
    <w:p w14:paraId="1EA3F3A2">
      <w:pPr>
        <w:keepNext w:val="0"/>
        <w:keepLines w:val="0"/>
        <w:pageBreakBefore w:val="0"/>
        <w:widowControl/>
        <w:kinsoku/>
        <w:wordWrap/>
        <w:overflowPunct/>
        <w:topLinePunct w:val="0"/>
        <w:autoSpaceDE/>
        <w:autoSpaceDN/>
        <w:bidi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3.未成年人保护：学生账户操作界面不得出现商业广告、付费诱导提示。</w:t>
      </w:r>
    </w:p>
    <w:p w14:paraId="30282090">
      <w:pPr>
        <w:keepNext w:val="0"/>
        <w:keepLines w:val="0"/>
        <w:pageBreakBefore w:val="0"/>
        <w:widowControl/>
        <w:kinsoku/>
        <w:wordWrap/>
        <w:overflowPunct/>
        <w:topLinePunct w:val="0"/>
        <w:autoSpaceDE/>
        <w:autoSpaceDN/>
        <w:bidi w:val="0"/>
        <w:spacing w:line="360" w:lineRule="auto"/>
        <w:jc w:val="left"/>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（十二）采购清单及参数：</w:t>
      </w:r>
    </w:p>
    <w:tbl>
      <w:tblPr>
        <w:tblStyle w:val="42"/>
        <w:tblW w:w="9399"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763"/>
        <w:gridCol w:w="7790"/>
      </w:tblGrid>
      <w:tr w14:paraId="0EBE0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46" w:type="dxa"/>
            <w:vAlign w:val="center"/>
          </w:tcPr>
          <w:p w14:paraId="3EE0CA9C">
            <w:pPr>
              <w:widowControl/>
              <w:spacing w:line="360" w:lineRule="auto"/>
              <w:jc w:val="center"/>
              <w:rPr>
                <w:rFonts w:hint="eastAsia" w:ascii="宋体" w:hAnsi="宋体" w:eastAsia="宋体" w:cs="宋体"/>
                <w:b/>
                <w:bCs/>
                <w:snapToGrid/>
                <w:color w:val="auto"/>
                <w:kern w:val="0"/>
                <w:sz w:val="24"/>
                <w:szCs w:val="24"/>
                <w:highlight w:val="none"/>
              </w:rPr>
            </w:pPr>
            <w:r>
              <w:rPr>
                <w:rFonts w:hint="eastAsia" w:ascii="宋体" w:hAnsi="宋体" w:eastAsia="宋体" w:cs="宋体"/>
                <w:b/>
                <w:bCs/>
                <w:snapToGrid/>
                <w:color w:val="auto"/>
                <w:kern w:val="0"/>
                <w:sz w:val="24"/>
                <w:szCs w:val="24"/>
                <w:highlight w:val="none"/>
              </w:rPr>
              <w:t>序号</w:t>
            </w:r>
          </w:p>
        </w:tc>
        <w:tc>
          <w:tcPr>
            <w:tcW w:w="763" w:type="dxa"/>
            <w:vAlign w:val="center"/>
          </w:tcPr>
          <w:p w14:paraId="50C986B5">
            <w:pPr>
              <w:widowControl/>
              <w:spacing w:line="360" w:lineRule="auto"/>
              <w:jc w:val="center"/>
              <w:rPr>
                <w:rFonts w:hint="eastAsia" w:ascii="宋体" w:hAnsi="宋体" w:eastAsia="宋体" w:cs="宋体"/>
                <w:b/>
                <w:bCs/>
                <w:snapToGrid/>
                <w:color w:val="auto"/>
                <w:kern w:val="0"/>
                <w:sz w:val="24"/>
                <w:szCs w:val="24"/>
                <w:highlight w:val="none"/>
              </w:rPr>
            </w:pPr>
            <w:r>
              <w:rPr>
                <w:rFonts w:hint="eastAsia" w:ascii="宋体" w:hAnsi="宋体" w:eastAsia="宋体" w:cs="宋体"/>
                <w:b/>
                <w:bCs/>
                <w:snapToGrid/>
                <w:color w:val="auto"/>
                <w:kern w:val="0"/>
                <w:sz w:val="24"/>
                <w:szCs w:val="24"/>
                <w:highlight w:val="none"/>
              </w:rPr>
              <w:t>名称</w:t>
            </w:r>
          </w:p>
        </w:tc>
        <w:tc>
          <w:tcPr>
            <w:tcW w:w="7790" w:type="dxa"/>
            <w:vAlign w:val="center"/>
          </w:tcPr>
          <w:p w14:paraId="5E41A4E5">
            <w:pPr>
              <w:widowControl/>
              <w:spacing w:line="360" w:lineRule="auto"/>
              <w:jc w:val="center"/>
              <w:rPr>
                <w:rFonts w:hint="eastAsia" w:ascii="宋体" w:hAnsi="宋体" w:eastAsia="宋体" w:cs="宋体"/>
                <w:b/>
                <w:bCs/>
                <w:snapToGrid/>
                <w:color w:val="auto"/>
                <w:kern w:val="0"/>
                <w:sz w:val="24"/>
                <w:szCs w:val="24"/>
                <w:highlight w:val="none"/>
              </w:rPr>
            </w:pPr>
            <w:r>
              <w:rPr>
                <w:rFonts w:hint="eastAsia" w:ascii="宋体" w:hAnsi="宋体" w:eastAsia="宋体" w:cs="宋体"/>
                <w:b/>
                <w:bCs/>
                <w:snapToGrid/>
                <w:color w:val="auto"/>
                <w:kern w:val="0"/>
                <w:sz w:val="24"/>
                <w:szCs w:val="24"/>
                <w:highlight w:val="none"/>
              </w:rPr>
              <w:t>技术参数</w:t>
            </w:r>
          </w:p>
        </w:tc>
      </w:tr>
      <w:tr w14:paraId="64C32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46" w:type="dxa"/>
            <w:vAlign w:val="center"/>
          </w:tcPr>
          <w:p w14:paraId="51051E54">
            <w:pPr>
              <w:widowControl/>
              <w:spacing w:line="360" w:lineRule="auto"/>
              <w:jc w:val="center"/>
              <w:rPr>
                <w:rFonts w:hint="eastAsia" w:ascii="宋体" w:hAnsi="宋体" w:eastAsia="宋体" w:cs="宋体"/>
                <w:snapToGrid/>
                <w:color w:val="auto"/>
                <w:kern w:val="0"/>
                <w:sz w:val="24"/>
                <w:szCs w:val="24"/>
                <w:highlight w:val="none"/>
              </w:rPr>
            </w:pPr>
            <w:r>
              <w:rPr>
                <w:rFonts w:hint="eastAsia" w:ascii="宋体" w:hAnsi="宋体" w:eastAsia="宋体" w:cs="宋体"/>
                <w:snapToGrid/>
                <w:color w:val="auto"/>
                <w:kern w:val="0"/>
                <w:sz w:val="24"/>
                <w:szCs w:val="24"/>
                <w:highlight w:val="none"/>
              </w:rPr>
              <w:t>1</w:t>
            </w:r>
          </w:p>
        </w:tc>
        <w:tc>
          <w:tcPr>
            <w:tcW w:w="763" w:type="dxa"/>
            <w:vAlign w:val="center"/>
          </w:tcPr>
          <w:p w14:paraId="731076A6">
            <w:pPr>
              <w:widowControl/>
              <w:spacing w:line="360" w:lineRule="auto"/>
              <w:jc w:val="center"/>
              <w:rPr>
                <w:rFonts w:hint="eastAsia" w:ascii="宋体" w:hAnsi="宋体" w:eastAsia="宋体" w:cs="宋体"/>
                <w:snapToGrid/>
                <w:color w:val="auto"/>
                <w:kern w:val="0"/>
                <w:sz w:val="24"/>
                <w:szCs w:val="24"/>
                <w:highlight w:val="none"/>
              </w:rPr>
            </w:pPr>
            <w:r>
              <w:rPr>
                <w:rFonts w:hint="eastAsia" w:ascii="宋体" w:hAnsi="宋体" w:eastAsia="宋体" w:cs="宋体"/>
                <w:snapToGrid/>
                <w:color w:val="auto"/>
                <w:kern w:val="0"/>
                <w:sz w:val="24"/>
                <w:szCs w:val="24"/>
                <w:highlight w:val="none"/>
              </w:rPr>
              <w:t>AR教学平台</w:t>
            </w:r>
          </w:p>
        </w:tc>
        <w:tc>
          <w:tcPr>
            <w:tcW w:w="7790" w:type="dxa"/>
            <w:vAlign w:val="center"/>
          </w:tcPr>
          <w:p w14:paraId="3BB2648E">
            <w:pPr>
              <w:widowControl/>
              <w:spacing w:line="360" w:lineRule="auto"/>
              <w:jc w:val="left"/>
              <w:rPr>
                <w:rFonts w:hint="eastAsia" w:ascii="宋体" w:hAnsi="宋体" w:eastAsia="宋体" w:cs="宋体"/>
                <w:snapToGrid/>
                <w:color w:val="auto"/>
                <w:kern w:val="0"/>
                <w:sz w:val="24"/>
                <w:szCs w:val="24"/>
                <w:highlight w:val="none"/>
              </w:rPr>
            </w:pPr>
            <w:r>
              <w:rPr>
                <w:rFonts w:hint="eastAsia" w:ascii="宋体" w:hAnsi="宋体" w:eastAsia="宋体" w:cs="宋体"/>
                <w:snapToGrid/>
                <w:color w:val="auto"/>
                <w:kern w:val="0"/>
                <w:sz w:val="24"/>
                <w:szCs w:val="24"/>
                <w:highlight w:val="none"/>
              </w:rPr>
              <w:t>一、平台整体设计</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1.支持查看和修改基础信息，包括昵称、性别、手机号、个人签名等；支持绑定学号。</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2.支持查看、更换头像，支持JPG、GIF、PNG格式。</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3.支持查看当前安全等级，支持通过设置并且验证安全问题保护帐号密码安全。</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4.支持查看本人在学课程，具有学习中、已学完两个分类。</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5.支持课程学习进度显示，便于老师、学生清晰获知自己各课程的学习进度，便于续接上次进度继续学习。</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6.已学完课程学习进度为100%，并支持显示学习总时长。</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7.支持查看课程基本信息，比如课程名称、封面、授课老师、该课程下的课件目录、课程资料、作业、考试、问答、课程介绍等。</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8.支持网页端调用元宇宙客户端软件进行交互学习体验。</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9.支持查看本人的所有作业、考试及考试记录、提问和回答。</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10.支持数据统计，包括但不限于课时学习情况、提问情况、练习完成情况、作业完成情况、考试完成情况；数据体现不限于折线统计图、条形统计图、数据记录表。</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11.支持查看在教课程。</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12.支持创建课程、编辑课程信息并设置课程属性，可对课程名称、课程开放范围、课程分类、课程简介、课程图片等进行编辑和修改。</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13.支持课程内容管理，可添加章节目录和上传课件，支持上传不限于普通视频、全景视频、全景交互课件、APK交互课件等多种格式的课件内容。</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14.支持授课班管理，可查看已添加的全部授课班，创建课程时可添加一个默认授课班，同时课程创建者可以创建多个授课班。</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15.支持题库管理。可创建选择题、填空题、判断题、问答题，用于练习、考试、作业等。支持创建新的元宇宙互动教室，支持设置教室名称、密码、授课时间；支持查看素材详情：不限于素材类型、标题、风格、贴图质量、面数、缩略图、标签等。</w:t>
            </w:r>
          </w:p>
          <w:p w14:paraId="172E9AFC">
            <w:pPr>
              <w:spacing w:line="360" w:lineRule="auto"/>
              <w:rPr>
                <w:rFonts w:hint="eastAsia" w:ascii="宋体" w:hAnsi="宋体" w:eastAsia="宋体" w:cs="宋体"/>
                <w:color w:val="auto"/>
                <w:sz w:val="24"/>
                <w:szCs w:val="24"/>
                <w:highlight w:val="none"/>
              </w:rPr>
            </w:pPr>
            <w:r>
              <w:rPr>
                <w:rFonts w:hint="eastAsia" w:ascii="宋体" w:hAnsi="宋体" w:eastAsia="宋体" w:cs="宋体"/>
                <w:snapToGrid/>
                <w:color w:val="auto"/>
                <w:kern w:val="0"/>
                <w:sz w:val="24"/>
                <w:szCs w:val="24"/>
                <w:highlight w:val="none"/>
              </w:rPr>
              <w:t>16.支持作业、考试管理，可以查看、创建、删除作业、考试。具有学员问答模块，展示本门课程下所有的问答，老师或者管理员可以进行筛选。</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17.支持教师查看学员问答，可显示问答分类列表。</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18.支持多种素材类型：具有模型、PPT文档、全景图片、全景视频、普通图片、普通视频等类别的素材。</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19.支持自有素材上传：模型、图片、全景图片、视频、全景视频类型和格式。</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20.支持标签分类排序：可选择标签快速筛选该标签下的素材，如热门推荐、最新上传、浏览量、收藏量、获取量等，按降序排列。</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21.支持素材搜索：支持云端素材库中按标题搜索快速查找所需的素材。</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22.素材库排序：支持素材按不同方式排序，快速查找所需的素材。</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23.素材管理：支持对自己上传的素材进行编辑（不限于素材类型、标题、风格、贴图质量、面数、缩略图、标签等）、删除。</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2</w:t>
            </w:r>
            <w:r>
              <w:rPr>
                <w:rFonts w:hint="eastAsia" w:ascii="宋体" w:hAnsi="宋体" w:eastAsia="宋体" w:cs="宋体"/>
                <w:snapToGrid/>
                <w:color w:val="auto"/>
                <w:kern w:val="0"/>
                <w:sz w:val="24"/>
                <w:szCs w:val="24"/>
                <w:highlight w:val="none"/>
                <w:lang w:val="en-US" w:eastAsia="zh-CN"/>
              </w:rPr>
              <w:t>4</w:t>
            </w:r>
            <w:r>
              <w:rPr>
                <w:rFonts w:hint="eastAsia" w:ascii="宋体" w:hAnsi="宋体" w:eastAsia="宋体" w:cs="宋体"/>
                <w:snapToGrid/>
                <w:color w:val="auto"/>
                <w:kern w:val="0"/>
                <w:sz w:val="24"/>
                <w:szCs w:val="24"/>
                <w:highlight w:val="none"/>
              </w:rPr>
              <w:t>.管理员具有管理后台权限，通过后台管理可以实现课程管理、用户管理、首页配置、班级管理、站点设置等功能。</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2</w:t>
            </w:r>
            <w:r>
              <w:rPr>
                <w:rFonts w:hint="eastAsia" w:ascii="宋体" w:hAnsi="宋体" w:eastAsia="宋体" w:cs="宋体"/>
                <w:snapToGrid/>
                <w:color w:val="auto"/>
                <w:kern w:val="0"/>
                <w:sz w:val="24"/>
                <w:szCs w:val="24"/>
                <w:highlight w:val="none"/>
                <w:lang w:val="en-US" w:eastAsia="zh-CN"/>
              </w:rPr>
              <w:t>5</w:t>
            </w:r>
            <w:r>
              <w:rPr>
                <w:rFonts w:hint="eastAsia" w:ascii="宋体" w:hAnsi="宋体" w:eastAsia="宋体" w:cs="宋体"/>
                <w:snapToGrid/>
                <w:color w:val="auto"/>
                <w:kern w:val="0"/>
                <w:sz w:val="24"/>
                <w:szCs w:val="24"/>
                <w:highlight w:val="none"/>
              </w:rPr>
              <w:t>.支持学生、老师、管理员等多种身份。</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2</w:t>
            </w:r>
            <w:r>
              <w:rPr>
                <w:rFonts w:hint="eastAsia" w:ascii="宋体" w:hAnsi="宋体" w:eastAsia="宋体" w:cs="宋体"/>
                <w:snapToGrid/>
                <w:color w:val="auto"/>
                <w:kern w:val="0"/>
                <w:sz w:val="24"/>
                <w:szCs w:val="24"/>
                <w:highlight w:val="none"/>
                <w:lang w:val="en-US" w:eastAsia="zh-CN"/>
              </w:rPr>
              <w:t>6</w:t>
            </w:r>
            <w:r>
              <w:rPr>
                <w:rFonts w:hint="eastAsia" w:ascii="宋体" w:hAnsi="宋体" w:eastAsia="宋体" w:cs="宋体"/>
                <w:snapToGrid/>
                <w:color w:val="auto"/>
                <w:kern w:val="0"/>
                <w:sz w:val="24"/>
                <w:szCs w:val="24"/>
                <w:highlight w:val="none"/>
              </w:rPr>
              <w:t>.支持用户账号批量导入。</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2</w:t>
            </w:r>
            <w:r>
              <w:rPr>
                <w:rFonts w:hint="eastAsia" w:ascii="宋体" w:hAnsi="宋体" w:eastAsia="宋体" w:cs="宋体"/>
                <w:snapToGrid/>
                <w:color w:val="auto"/>
                <w:kern w:val="0"/>
                <w:sz w:val="24"/>
                <w:szCs w:val="24"/>
                <w:highlight w:val="none"/>
                <w:lang w:val="en-US" w:eastAsia="zh-CN"/>
              </w:rPr>
              <w:t>7</w:t>
            </w:r>
            <w:r>
              <w:rPr>
                <w:rFonts w:hint="eastAsia" w:ascii="宋体" w:hAnsi="宋体" w:eastAsia="宋体" w:cs="宋体"/>
                <w:snapToGrid/>
                <w:color w:val="auto"/>
                <w:kern w:val="0"/>
                <w:sz w:val="24"/>
                <w:szCs w:val="24"/>
                <w:highlight w:val="none"/>
              </w:rPr>
              <w:t>.支持</w:t>
            </w:r>
            <w:r>
              <w:rPr>
                <w:rFonts w:hint="eastAsia" w:ascii="宋体" w:hAnsi="宋体" w:eastAsia="宋体" w:cs="宋体"/>
                <w:snapToGrid/>
                <w:color w:val="auto"/>
                <w:kern w:val="0"/>
                <w:sz w:val="24"/>
                <w:szCs w:val="24"/>
                <w:highlight w:val="none"/>
                <w:lang w:val="en-US" w:eastAsia="zh-CN"/>
              </w:rPr>
              <w:t>AR、</w:t>
            </w:r>
            <w:r>
              <w:rPr>
                <w:rFonts w:hint="eastAsia" w:ascii="宋体" w:hAnsi="宋体" w:eastAsia="宋体" w:cs="宋体"/>
                <w:snapToGrid/>
                <w:color w:val="auto"/>
                <w:kern w:val="0"/>
                <w:sz w:val="24"/>
                <w:szCs w:val="24"/>
                <w:highlight w:val="none"/>
              </w:rPr>
              <w:t>VR内容类型的上传，包括2D视频，全景视频，全景图片集，DVR全景交互课件，APK课件等。</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lang w:val="en-US" w:eastAsia="zh-CN"/>
              </w:rPr>
              <w:t>28</w:t>
            </w:r>
            <w:r>
              <w:rPr>
                <w:rFonts w:hint="eastAsia" w:ascii="宋体" w:hAnsi="宋体" w:eastAsia="宋体" w:cs="宋体"/>
                <w:snapToGrid/>
                <w:color w:val="auto"/>
                <w:kern w:val="0"/>
                <w:sz w:val="24"/>
                <w:szCs w:val="24"/>
                <w:highlight w:val="none"/>
              </w:rPr>
              <w:t>.支持修改课程信息、设置推荐课程、发布课程、修改课程属性。</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lang w:val="en-US" w:eastAsia="zh-CN"/>
              </w:rPr>
              <w:t>29</w:t>
            </w:r>
            <w:r>
              <w:rPr>
                <w:rFonts w:hint="eastAsia" w:ascii="宋体" w:hAnsi="宋体" w:eastAsia="宋体" w:cs="宋体"/>
                <w:snapToGrid/>
                <w:color w:val="auto"/>
                <w:kern w:val="0"/>
                <w:sz w:val="24"/>
                <w:szCs w:val="24"/>
                <w:highlight w:val="none"/>
              </w:rPr>
              <w:t>.支持对教师创建的课程、资源进行审核管理，通过审核的课程或资源才会被发布，发布的课程或资源才能被用户端在云端资源库或素材库看到。</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lang w:val="en-US" w:eastAsia="zh-CN"/>
              </w:rPr>
              <w:t>30</w:t>
            </w:r>
            <w:r>
              <w:rPr>
                <w:rFonts w:hint="eastAsia" w:ascii="宋体" w:hAnsi="宋体" w:eastAsia="宋体" w:cs="宋体"/>
                <w:snapToGrid/>
                <w:color w:val="auto"/>
                <w:kern w:val="0"/>
                <w:sz w:val="24"/>
                <w:szCs w:val="24"/>
                <w:highlight w:val="none"/>
              </w:rPr>
              <w:t>.支持添加新用户、编辑用户信息，支持设置用户角色，包括学员、教师、管理员三种角色，角色不同权限不同。</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3</w:t>
            </w:r>
            <w:r>
              <w:rPr>
                <w:rFonts w:hint="eastAsia" w:ascii="宋体" w:hAnsi="宋体" w:eastAsia="宋体" w:cs="宋体"/>
                <w:snapToGrid/>
                <w:color w:val="auto"/>
                <w:kern w:val="0"/>
                <w:sz w:val="24"/>
                <w:szCs w:val="24"/>
                <w:highlight w:val="none"/>
                <w:lang w:val="en-US" w:eastAsia="zh-CN"/>
              </w:rPr>
              <w:t>1</w:t>
            </w:r>
            <w:r>
              <w:rPr>
                <w:rFonts w:hint="eastAsia" w:ascii="宋体" w:hAnsi="宋体" w:eastAsia="宋体" w:cs="宋体"/>
                <w:snapToGrid/>
                <w:color w:val="auto"/>
                <w:kern w:val="0"/>
                <w:sz w:val="24"/>
                <w:szCs w:val="24"/>
                <w:highlight w:val="none"/>
              </w:rPr>
              <w:t>.支持教师管理和审核，学员角色可以提交成为教师的请求，审核通过后成为教师角色。</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3</w:t>
            </w:r>
            <w:r>
              <w:rPr>
                <w:rFonts w:hint="eastAsia" w:ascii="宋体" w:hAnsi="宋体" w:eastAsia="宋体" w:cs="宋体"/>
                <w:snapToGrid/>
                <w:color w:val="auto"/>
                <w:kern w:val="0"/>
                <w:sz w:val="24"/>
                <w:szCs w:val="24"/>
                <w:highlight w:val="none"/>
                <w:lang w:val="en-US" w:eastAsia="zh-CN"/>
              </w:rPr>
              <w:t>2</w:t>
            </w:r>
            <w:r>
              <w:rPr>
                <w:rFonts w:hint="eastAsia" w:ascii="宋体" w:hAnsi="宋体" w:eastAsia="宋体" w:cs="宋体"/>
                <w:snapToGrid/>
                <w:color w:val="auto"/>
                <w:kern w:val="0"/>
                <w:sz w:val="24"/>
                <w:szCs w:val="24"/>
                <w:highlight w:val="none"/>
              </w:rPr>
              <w:t>.支持首页导航管理，支持新增、编辑、删除、添加二级导航，支持轮播图管理。</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3</w:t>
            </w:r>
            <w:r>
              <w:rPr>
                <w:rFonts w:hint="eastAsia" w:ascii="宋体" w:hAnsi="宋体" w:eastAsia="宋体" w:cs="宋体"/>
                <w:snapToGrid/>
                <w:color w:val="auto"/>
                <w:kern w:val="0"/>
                <w:sz w:val="24"/>
                <w:szCs w:val="24"/>
                <w:highlight w:val="none"/>
                <w:lang w:val="en-US" w:eastAsia="zh-CN"/>
              </w:rPr>
              <w:t>3</w:t>
            </w:r>
            <w:r>
              <w:rPr>
                <w:rFonts w:hint="eastAsia" w:ascii="宋体" w:hAnsi="宋体" w:eastAsia="宋体" w:cs="宋体"/>
                <w:snapToGrid/>
                <w:color w:val="auto"/>
                <w:kern w:val="0"/>
                <w:sz w:val="24"/>
                <w:szCs w:val="24"/>
                <w:highlight w:val="none"/>
              </w:rPr>
              <w:t>.支持班级管理，可以进行创建、查看、关闭等操作，支持按照课程分类进行筛选，支持关键词搜索。</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3</w:t>
            </w:r>
            <w:r>
              <w:rPr>
                <w:rFonts w:hint="eastAsia" w:ascii="宋体" w:hAnsi="宋体" w:eastAsia="宋体" w:cs="宋体"/>
                <w:snapToGrid/>
                <w:color w:val="auto"/>
                <w:kern w:val="0"/>
                <w:sz w:val="24"/>
                <w:szCs w:val="24"/>
                <w:highlight w:val="none"/>
                <w:lang w:val="en-US" w:eastAsia="zh-CN"/>
              </w:rPr>
              <w:t>4</w:t>
            </w:r>
            <w:r>
              <w:rPr>
                <w:rFonts w:hint="eastAsia" w:ascii="宋体" w:hAnsi="宋体" w:eastAsia="宋体" w:cs="宋体"/>
                <w:snapToGrid/>
                <w:color w:val="auto"/>
                <w:kern w:val="0"/>
                <w:sz w:val="24"/>
                <w:szCs w:val="24"/>
                <w:highlight w:val="none"/>
              </w:rPr>
              <w:t>.支持站点设置、网页全局设置，设置网站名称、域名、Logo或校徽、主题颜色、SEO基础信息、开启/关闭友情链接等。</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▲3</w:t>
            </w:r>
            <w:r>
              <w:rPr>
                <w:rFonts w:hint="eastAsia" w:ascii="宋体" w:hAnsi="宋体" w:eastAsia="宋体" w:cs="宋体"/>
                <w:snapToGrid/>
                <w:color w:val="auto"/>
                <w:kern w:val="0"/>
                <w:sz w:val="24"/>
                <w:szCs w:val="24"/>
                <w:highlight w:val="none"/>
                <w:lang w:val="en-US" w:eastAsia="zh-CN"/>
              </w:rPr>
              <w:t>5</w:t>
            </w:r>
            <w:r>
              <w:rPr>
                <w:rFonts w:hint="eastAsia" w:ascii="宋体" w:hAnsi="宋体" w:eastAsia="宋体" w:cs="宋体"/>
                <w:snapToGrid/>
                <w:color w:val="auto"/>
                <w:kern w:val="0"/>
                <w:sz w:val="24"/>
                <w:szCs w:val="24"/>
                <w:highlight w:val="none"/>
              </w:rPr>
              <w:t>.支持后台数据统计查看不同条件下的数据趋势情况。</w:t>
            </w:r>
            <w:r>
              <w:rPr>
                <w:rFonts w:hint="eastAsia" w:ascii="宋体" w:hAnsi="宋体" w:eastAsia="宋体" w:cs="宋体"/>
                <w:snapToGrid/>
                <w:color w:val="auto"/>
                <w:kern w:val="0"/>
                <w:sz w:val="24"/>
                <w:szCs w:val="24"/>
                <w:highlight w:val="none"/>
                <w:lang w:val="en-US" w:eastAsia="zh-CN"/>
              </w:rPr>
              <w:t>支持数据导出</w:t>
            </w:r>
            <w:r>
              <w:rPr>
                <w:rFonts w:hint="eastAsia" w:ascii="宋体" w:hAnsi="宋体" w:eastAsia="宋体" w:cs="宋体"/>
                <w:snapToGrid/>
                <w:color w:val="auto"/>
                <w:kern w:val="0"/>
                <w:sz w:val="24"/>
                <w:szCs w:val="24"/>
                <w:highlight w:val="none"/>
                <w:lang w:eastAsia="zh-CN"/>
              </w:rPr>
              <w:t>。</w:t>
            </w:r>
            <w:r>
              <w:rPr>
                <w:rFonts w:hint="eastAsia" w:ascii="宋体" w:hAnsi="宋体" w:eastAsia="宋体" w:cs="宋体"/>
                <w:b/>
                <w:bCs/>
                <w:snapToGrid/>
                <w:color w:val="auto"/>
                <w:kern w:val="0"/>
                <w:sz w:val="24"/>
                <w:szCs w:val="24"/>
                <w:highlight w:val="none"/>
              </w:rPr>
              <w:t>（提供功能截图）</w:t>
            </w:r>
          </w:p>
          <w:p w14:paraId="1975F9C1">
            <w:pPr>
              <w:widowControl/>
              <w:spacing w:line="360" w:lineRule="auto"/>
              <w:jc w:val="left"/>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rPr>
              <w:t>3</w:t>
            </w:r>
            <w:r>
              <w:rPr>
                <w:rFonts w:hint="eastAsia" w:ascii="宋体" w:hAnsi="宋体" w:eastAsia="宋体" w:cs="宋体"/>
                <w:snapToGrid/>
                <w:color w:val="auto"/>
                <w:kern w:val="0"/>
                <w:sz w:val="24"/>
                <w:szCs w:val="24"/>
                <w:highlight w:val="none"/>
                <w:lang w:val="en-US" w:eastAsia="zh-CN"/>
              </w:rPr>
              <w:t>6</w:t>
            </w:r>
            <w:r>
              <w:rPr>
                <w:rFonts w:hint="eastAsia" w:ascii="宋体" w:hAnsi="宋体" w:eastAsia="宋体" w:cs="宋体"/>
                <w:snapToGrid/>
                <w:color w:val="auto"/>
                <w:kern w:val="0"/>
                <w:sz w:val="24"/>
                <w:szCs w:val="24"/>
                <w:highlight w:val="none"/>
              </w:rPr>
              <w:t>.硬件资源：CPU≥2.1GHz/12核/18MB/120W，内存≥128GB DDR4/DDR5，硬盘≥2块 4TB NVMe SSD (RAID 1)；≥4端口千兆电接口网卡1张，配置2端口万兆光接口网卡≥1张（含光模块）；配置≥1Gb HDM独立远程管理口（支持虚拟KVM功能），配置风扇模块，2U导轨；或</w:t>
            </w:r>
            <w:r>
              <w:rPr>
                <w:rFonts w:hint="eastAsia" w:ascii="宋体" w:hAnsi="宋体" w:eastAsia="宋体" w:cs="宋体"/>
                <w:snapToGrid/>
                <w:color w:val="auto"/>
                <w:kern w:val="0"/>
                <w:sz w:val="24"/>
                <w:szCs w:val="24"/>
                <w:highlight w:val="none"/>
                <w:lang w:val="en-US" w:eastAsia="zh-CN"/>
              </w:rPr>
              <w:t>提供</w:t>
            </w:r>
            <w:r>
              <w:rPr>
                <w:rFonts w:hint="eastAsia" w:ascii="宋体" w:hAnsi="宋体" w:eastAsia="宋体" w:cs="宋体"/>
                <w:snapToGrid/>
                <w:color w:val="auto"/>
                <w:kern w:val="0"/>
                <w:sz w:val="24"/>
                <w:szCs w:val="24"/>
                <w:highlight w:val="none"/>
              </w:rPr>
              <w:t>同等性能以上</w:t>
            </w:r>
            <w:r>
              <w:rPr>
                <w:rFonts w:hint="eastAsia" w:ascii="宋体" w:hAnsi="宋体" w:eastAsia="宋体" w:cs="宋体"/>
                <w:snapToGrid/>
                <w:color w:val="auto"/>
                <w:kern w:val="0"/>
                <w:sz w:val="24"/>
                <w:szCs w:val="24"/>
                <w:highlight w:val="none"/>
                <w:lang w:val="en-US" w:eastAsia="zh-CN"/>
              </w:rPr>
              <w:t>的</w:t>
            </w:r>
            <w:r>
              <w:rPr>
                <w:rFonts w:hint="eastAsia" w:ascii="宋体" w:hAnsi="宋体" w:eastAsia="宋体" w:cs="宋体"/>
                <w:snapToGrid/>
                <w:color w:val="auto"/>
                <w:kern w:val="0"/>
                <w:sz w:val="24"/>
                <w:szCs w:val="24"/>
                <w:highlight w:val="none"/>
              </w:rPr>
              <w:t>的服务器</w:t>
            </w:r>
            <w:r>
              <w:rPr>
                <w:rFonts w:hint="eastAsia" w:ascii="宋体" w:hAnsi="宋体" w:cs="宋体"/>
                <w:snapToGrid/>
                <w:color w:val="auto"/>
                <w:kern w:val="0"/>
                <w:sz w:val="24"/>
                <w:szCs w:val="24"/>
                <w:highlight w:val="none"/>
                <w:lang w:eastAsia="zh-CN"/>
              </w:rPr>
              <w:t>。</w:t>
            </w:r>
          </w:p>
          <w:p w14:paraId="4B5EBB40">
            <w:pPr>
              <w:widowControl/>
              <w:spacing w:line="360" w:lineRule="auto"/>
              <w:jc w:val="left"/>
              <w:rPr>
                <w:rFonts w:hint="eastAsia" w:ascii="宋体" w:hAnsi="宋体" w:eastAsia="宋体" w:cs="宋体"/>
                <w:snapToGrid/>
                <w:color w:val="auto"/>
                <w:kern w:val="0"/>
                <w:sz w:val="24"/>
                <w:szCs w:val="24"/>
                <w:highlight w:val="none"/>
              </w:rPr>
            </w:pPr>
            <w:r>
              <w:rPr>
                <w:rFonts w:hint="eastAsia" w:ascii="宋体" w:hAnsi="宋体" w:eastAsia="宋体" w:cs="宋体"/>
                <w:b/>
                <w:bCs/>
                <w:snapToGrid/>
                <w:color w:val="auto"/>
                <w:kern w:val="0"/>
                <w:sz w:val="24"/>
                <w:szCs w:val="24"/>
                <w:highlight w:val="none"/>
              </w:rPr>
              <w:t>算力</w:t>
            </w:r>
            <w:r>
              <w:rPr>
                <w:rFonts w:hint="eastAsia" w:ascii="宋体" w:hAnsi="宋体" w:eastAsia="宋体" w:cs="宋体"/>
                <w:b/>
                <w:bCs/>
                <w:snapToGrid/>
                <w:color w:val="auto"/>
                <w:kern w:val="0"/>
                <w:sz w:val="24"/>
                <w:szCs w:val="24"/>
                <w:highlight w:val="none"/>
                <w:lang w:val="en-US" w:eastAsia="zh-CN"/>
              </w:rPr>
              <w:t>补充说明：</w:t>
            </w:r>
            <w:r>
              <w:rPr>
                <w:rFonts w:hint="eastAsia" w:ascii="宋体" w:hAnsi="宋体" w:eastAsia="宋体" w:cs="宋体"/>
                <w:b/>
                <w:bCs/>
                <w:snapToGrid/>
                <w:color w:val="auto"/>
                <w:kern w:val="0"/>
                <w:sz w:val="24"/>
                <w:szCs w:val="24"/>
                <w:highlight w:val="none"/>
              </w:rPr>
              <w:t>AI生成功能需兼容云端API调用模式，本地硬件需满足生成内容的流畅渲染与播放</w:t>
            </w:r>
            <w:r>
              <w:rPr>
                <w:rFonts w:hint="eastAsia" w:ascii="宋体" w:hAnsi="宋体" w:eastAsia="宋体" w:cs="宋体"/>
                <w:b/>
                <w:bCs/>
                <w:snapToGrid/>
                <w:color w:val="auto"/>
                <w:kern w:val="0"/>
                <w:sz w:val="24"/>
                <w:szCs w:val="24"/>
                <w:highlight w:val="none"/>
                <w:lang w:eastAsia="zh-CN"/>
              </w:rPr>
              <w:t>。</w:t>
            </w:r>
          </w:p>
        </w:tc>
      </w:tr>
      <w:tr w14:paraId="6FB24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46" w:type="dxa"/>
            <w:vAlign w:val="center"/>
          </w:tcPr>
          <w:p w14:paraId="421AAA59">
            <w:pPr>
              <w:widowControl/>
              <w:spacing w:line="360" w:lineRule="auto"/>
              <w:jc w:val="center"/>
              <w:rPr>
                <w:rFonts w:hint="eastAsia" w:ascii="宋体" w:hAnsi="宋体" w:eastAsia="宋体" w:cs="宋体"/>
                <w:snapToGrid/>
                <w:color w:val="auto"/>
                <w:kern w:val="0"/>
                <w:sz w:val="24"/>
                <w:szCs w:val="24"/>
                <w:highlight w:val="none"/>
              </w:rPr>
            </w:pPr>
            <w:r>
              <w:rPr>
                <w:rFonts w:hint="eastAsia" w:ascii="宋体" w:hAnsi="宋体" w:eastAsia="宋体" w:cs="宋体"/>
                <w:snapToGrid/>
                <w:color w:val="auto"/>
                <w:kern w:val="0"/>
                <w:sz w:val="24"/>
                <w:szCs w:val="24"/>
                <w:highlight w:val="none"/>
              </w:rPr>
              <w:t>2</w:t>
            </w:r>
          </w:p>
        </w:tc>
        <w:tc>
          <w:tcPr>
            <w:tcW w:w="763" w:type="dxa"/>
            <w:vAlign w:val="center"/>
          </w:tcPr>
          <w:p w14:paraId="524D1F5C">
            <w:pPr>
              <w:widowControl/>
              <w:spacing w:line="360" w:lineRule="auto"/>
              <w:jc w:val="center"/>
              <w:rPr>
                <w:rFonts w:hint="eastAsia" w:ascii="宋体" w:hAnsi="宋体" w:eastAsia="宋体" w:cs="宋体"/>
                <w:snapToGrid/>
                <w:color w:val="auto"/>
                <w:kern w:val="0"/>
                <w:sz w:val="24"/>
                <w:szCs w:val="24"/>
                <w:highlight w:val="none"/>
              </w:rPr>
            </w:pPr>
            <w:r>
              <w:rPr>
                <w:rFonts w:hint="eastAsia" w:ascii="宋体" w:hAnsi="宋体" w:eastAsia="宋体" w:cs="宋体"/>
                <w:snapToGrid/>
                <w:color w:val="auto"/>
                <w:kern w:val="0"/>
                <w:sz w:val="24"/>
                <w:szCs w:val="24"/>
                <w:highlight w:val="none"/>
              </w:rPr>
              <w:t>AR教学软件</w:t>
            </w:r>
          </w:p>
        </w:tc>
        <w:tc>
          <w:tcPr>
            <w:tcW w:w="7790" w:type="dxa"/>
            <w:vAlign w:val="center"/>
          </w:tcPr>
          <w:p w14:paraId="16207D64">
            <w:pPr>
              <w:widowControl/>
              <w:spacing w:line="360" w:lineRule="auto"/>
              <w:jc w:val="left"/>
              <w:rPr>
                <w:rFonts w:hint="eastAsia" w:ascii="宋体" w:hAnsi="宋体" w:eastAsia="宋体" w:cs="宋体"/>
                <w:snapToGrid/>
                <w:color w:val="auto"/>
                <w:kern w:val="0"/>
                <w:sz w:val="24"/>
                <w:szCs w:val="24"/>
                <w:highlight w:val="none"/>
              </w:rPr>
            </w:pPr>
            <w:r>
              <w:rPr>
                <w:rFonts w:hint="eastAsia" w:ascii="宋体" w:hAnsi="宋体" w:eastAsia="宋体" w:cs="宋体"/>
                <w:snapToGrid/>
                <w:color w:val="auto"/>
                <w:kern w:val="0"/>
                <w:sz w:val="24"/>
                <w:szCs w:val="24"/>
                <w:highlight w:val="none"/>
              </w:rPr>
              <w:t>一、整体</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1.AI多数字人元宇宙平台</w:t>
            </w:r>
            <w:r>
              <w:rPr>
                <w:rFonts w:hint="eastAsia" w:ascii="宋体" w:hAnsi="宋体" w:eastAsia="宋体" w:cs="宋体"/>
                <w:snapToGrid/>
                <w:color w:val="auto"/>
                <w:kern w:val="0"/>
                <w:sz w:val="24"/>
                <w:szCs w:val="24"/>
                <w:highlight w:val="none"/>
                <w:lang w:eastAsia="zh-CN"/>
              </w:rPr>
              <w:t>，</w:t>
            </w:r>
            <w:r>
              <w:rPr>
                <w:rFonts w:hint="eastAsia" w:ascii="宋体" w:hAnsi="宋体" w:eastAsia="宋体" w:cs="宋体"/>
                <w:snapToGrid/>
                <w:color w:val="auto"/>
                <w:kern w:val="0"/>
                <w:sz w:val="24"/>
                <w:szCs w:val="24"/>
                <w:highlight w:val="none"/>
              </w:rPr>
              <w:t>包括AI数字人、元宇宙多人空间、元宇宙内容创作、AI智能助手</w:t>
            </w:r>
            <w:r>
              <w:rPr>
                <w:rFonts w:hint="eastAsia" w:ascii="宋体" w:hAnsi="宋体" w:eastAsia="宋体" w:cs="宋体"/>
                <w:snapToGrid/>
                <w:color w:val="auto"/>
                <w:kern w:val="0"/>
                <w:sz w:val="24"/>
                <w:szCs w:val="24"/>
                <w:highlight w:val="none"/>
                <w:lang w:eastAsia="zh-CN"/>
              </w:rPr>
              <w:t>、</w:t>
            </w:r>
            <w:r>
              <w:rPr>
                <w:rFonts w:hint="eastAsia" w:ascii="宋体" w:hAnsi="宋体" w:eastAsia="宋体" w:cs="宋体"/>
                <w:snapToGrid/>
                <w:color w:val="auto"/>
                <w:kern w:val="0"/>
                <w:sz w:val="24"/>
                <w:szCs w:val="24"/>
                <w:highlight w:val="none"/>
              </w:rPr>
              <w:t>素材库、系统设置、个人中心等模块。</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2. 系统支持在VR、安卓、PC电脑等多种设备上运行。</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3.</w:t>
            </w:r>
            <w:r>
              <w:rPr>
                <w:rFonts w:hint="eastAsia" w:ascii="宋体" w:hAnsi="宋体" w:eastAsia="宋体" w:cs="宋体"/>
                <w:snapToGrid/>
                <w:color w:val="auto"/>
                <w:kern w:val="0"/>
                <w:sz w:val="24"/>
                <w:szCs w:val="24"/>
                <w:highlight w:val="none"/>
                <w:lang w:val="en-US" w:eastAsia="zh-CN"/>
              </w:rPr>
              <w:t>具有</w:t>
            </w:r>
            <w:r>
              <w:rPr>
                <w:rFonts w:hint="eastAsia" w:ascii="宋体" w:hAnsi="宋体" w:eastAsia="宋体" w:cs="宋体"/>
                <w:snapToGrid/>
                <w:color w:val="auto"/>
                <w:kern w:val="0"/>
                <w:sz w:val="24"/>
                <w:szCs w:val="24"/>
                <w:highlight w:val="none"/>
              </w:rPr>
              <w:t>在用户无感知的情况下实现应用内或者功能的增量更新与问题修复。</w:t>
            </w:r>
          </w:p>
          <w:p w14:paraId="726E1B4B">
            <w:pPr>
              <w:widowControl/>
              <w:spacing w:line="360" w:lineRule="auto"/>
              <w:jc w:val="left"/>
              <w:rPr>
                <w:rFonts w:hint="eastAsia" w:ascii="宋体" w:hAnsi="宋体" w:eastAsia="宋体" w:cs="宋体"/>
                <w:snapToGrid/>
                <w:color w:val="auto"/>
                <w:kern w:val="0"/>
                <w:sz w:val="24"/>
                <w:szCs w:val="24"/>
                <w:highlight w:val="none"/>
              </w:rPr>
            </w:pPr>
            <w:r>
              <w:rPr>
                <w:rFonts w:hint="eastAsia" w:ascii="宋体" w:hAnsi="宋体" w:eastAsia="宋体" w:cs="宋体"/>
                <w:snapToGrid/>
                <w:color w:val="auto"/>
                <w:kern w:val="0"/>
                <w:sz w:val="24"/>
                <w:szCs w:val="24"/>
                <w:highlight w:val="none"/>
                <w:lang w:val="en-US" w:eastAsia="zh-CN"/>
              </w:rPr>
              <w:t>4.首次部署包含≥30个（可选）红色文化教学场景模板（如长征路线、一大会址等），且模板可二次编辑。</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二、AI数字人</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1.支持用户自定义添加素材和自定义AI数字人，以辅助教学、讲解、播报、问答。内置不少于30个人物角色形象任意选择；</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●2.数字人融合AI、TTS、语音播报等功能；支持用户自定义设定和编辑数字人，包括数字人形象管理、语音管理、知识库管理、主题设置等；</w:t>
            </w:r>
            <w:r>
              <w:rPr>
                <w:rFonts w:hint="eastAsia" w:ascii="宋体" w:hAnsi="宋体" w:eastAsia="宋体" w:cs="宋体"/>
                <w:b/>
                <w:bCs/>
                <w:snapToGrid/>
                <w:color w:val="auto"/>
                <w:kern w:val="0"/>
                <w:sz w:val="24"/>
                <w:szCs w:val="24"/>
                <w:highlight w:val="none"/>
                <w:lang w:eastAsia="zh-CN"/>
              </w:rPr>
              <w:t>（需提供演示或提供第三方检测报告）</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3.AI智能问答：支持与AI数字人进行语音对话或文字对话，用户通过语音或文字的形式输入，数字人将同样以文字或语音的方式回应；</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lang w:val="en-US" w:eastAsia="zh-CN"/>
              </w:rPr>
              <w:t>4</w:t>
            </w:r>
            <w:r>
              <w:rPr>
                <w:rFonts w:hint="eastAsia" w:ascii="宋体" w:hAnsi="宋体" w:eastAsia="宋体" w:cs="宋体"/>
                <w:snapToGrid/>
                <w:color w:val="auto"/>
                <w:kern w:val="0"/>
                <w:sz w:val="24"/>
                <w:szCs w:val="24"/>
                <w:highlight w:val="none"/>
              </w:rPr>
              <w:t>.数字人编辑：支持对数字人进行移动/旋转/放大缩小/复制等编辑操作；</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lang w:val="en-US" w:eastAsia="zh-CN"/>
              </w:rPr>
              <w:t>5</w:t>
            </w:r>
            <w:r>
              <w:rPr>
                <w:rFonts w:hint="eastAsia" w:ascii="宋体" w:hAnsi="宋体" w:eastAsia="宋体" w:cs="宋体"/>
                <w:snapToGrid/>
                <w:color w:val="auto"/>
                <w:kern w:val="0"/>
                <w:sz w:val="24"/>
                <w:szCs w:val="24"/>
                <w:highlight w:val="none"/>
              </w:rPr>
              <w:t>.添加热点互动：支持用户为AI数字人添加额外的热点互动，实现多种素材之间的链接，便于用户创建更加有互动性的内容。每个添加的互动将可对应一个互动按钮便于用户的后续操作。</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7.支持用户自定义创建/编辑智能体：</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（1）支持唤醒词配置，提供多个唤醒词选项</w:t>
            </w:r>
          </w:p>
          <w:p w14:paraId="409C8913">
            <w:pPr>
              <w:widowControl/>
              <w:spacing w:line="360" w:lineRule="auto"/>
              <w:jc w:val="left"/>
              <w:rPr>
                <w:rFonts w:hint="eastAsia" w:ascii="宋体" w:hAnsi="宋体" w:eastAsia="宋体" w:cs="宋体"/>
                <w:snapToGrid/>
                <w:color w:val="auto"/>
                <w:kern w:val="0"/>
                <w:sz w:val="24"/>
                <w:szCs w:val="24"/>
                <w:highlight w:val="none"/>
              </w:rPr>
            </w:pPr>
            <w:r>
              <w:rPr>
                <w:rFonts w:hint="eastAsia" w:ascii="宋体" w:hAnsi="宋体" w:eastAsia="宋体" w:cs="宋体"/>
                <w:snapToGrid/>
                <w:color w:val="auto"/>
                <w:kern w:val="0"/>
                <w:sz w:val="24"/>
                <w:szCs w:val="24"/>
                <w:highlight w:val="none"/>
              </w:rPr>
              <w:t>（2）支持智能体名称、智能体介绍自定义；</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（3）支持主流国产大模型API接口标准（兼容OpenAI格式或国内主流大模型API格式）</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（4）支持多种对话语气风格自选配置；</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（5）支持联网搜索的开启或关闭</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w:t>
            </w:r>
            <w:r>
              <w:rPr>
                <w:rFonts w:hint="eastAsia" w:ascii="宋体" w:hAnsi="宋体" w:eastAsia="宋体" w:cs="宋体"/>
                <w:snapToGrid/>
                <w:color w:val="auto"/>
                <w:kern w:val="0"/>
                <w:sz w:val="24"/>
                <w:szCs w:val="24"/>
                <w:highlight w:val="none"/>
                <w:lang w:val="en-US" w:eastAsia="zh-CN"/>
              </w:rPr>
              <w:t>6</w:t>
            </w:r>
            <w:r>
              <w:rPr>
                <w:rFonts w:hint="eastAsia" w:ascii="宋体" w:hAnsi="宋体" w:eastAsia="宋体" w:cs="宋体"/>
                <w:snapToGrid/>
                <w:color w:val="auto"/>
                <w:kern w:val="0"/>
                <w:sz w:val="24"/>
                <w:szCs w:val="24"/>
                <w:highlight w:val="none"/>
              </w:rPr>
              <w:t>）支持自定义智能体提示词，也支持AI结合用户设定的智能体名称的内容生成匹配的提示词。</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w:t>
            </w:r>
            <w:r>
              <w:rPr>
                <w:rFonts w:hint="eastAsia" w:ascii="宋体" w:hAnsi="宋体" w:eastAsia="宋体" w:cs="宋体"/>
                <w:snapToGrid/>
                <w:color w:val="auto"/>
                <w:kern w:val="0"/>
                <w:sz w:val="24"/>
                <w:szCs w:val="24"/>
                <w:highlight w:val="none"/>
                <w:lang w:val="en-US" w:eastAsia="zh-CN"/>
              </w:rPr>
              <w:t>7</w:t>
            </w:r>
            <w:r>
              <w:rPr>
                <w:rFonts w:hint="eastAsia" w:ascii="宋体" w:hAnsi="宋体" w:eastAsia="宋体" w:cs="宋体"/>
                <w:snapToGrid/>
                <w:color w:val="auto"/>
                <w:kern w:val="0"/>
                <w:sz w:val="24"/>
                <w:szCs w:val="24"/>
                <w:highlight w:val="none"/>
              </w:rPr>
              <w:t>）支持知识库设定：</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知识库文档功能：支持上传特定文档作为知识库格式支持：包括TXT、XLSX、DOCX、</w:t>
            </w:r>
            <w:r>
              <w:rPr>
                <w:rFonts w:hint="eastAsia" w:ascii="宋体" w:hAnsi="宋体" w:eastAsia="宋体" w:cs="宋体"/>
                <w:snapToGrid/>
                <w:color w:val="auto"/>
                <w:kern w:val="0"/>
                <w:sz w:val="24"/>
                <w:szCs w:val="24"/>
                <w:highlight w:val="none"/>
                <w:lang w:val="en-US" w:eastAsia="zh-CN"/>
              </w:rPr>
              <w:t>PDF</w:t>
            </w:r>
            <w:r>
              <w:rPr>
                <w:rFonts w:hint="eastAsia" w:ascii="宋体" w:hAnsi="宋体" w:eastAsia="宋体" w:cs="宋体"/>
                <w:snapToGrid/>
                <w:color w:val="auto"/>
                <w:kern w:val="0"/>
                <w:sz w:val="24"/>
                <w:szCs w:val="24"/>
                <w:highlight w:val="none"/>
              </w:rPr>
              <w:t>等。</w:t>
            </w:r>
          </w:p>
          <w:p w14:paraId="60DFB2C1">
            <w:pPr>
              <w:spacing w:line="360" w:lineRule="auto"/>
              <w:rPr>
                <w:rFonts w:hint="eastAsia" w:ascii="宋体" w:hAnsi="宋体" w:eastAsia="宋体" w:cs="宋体"/>
                <w:color w:val="auto"/>
                <w:sz w:val="24"/>
                <w:szCs w:val="24"/>
                <w:highlight w:val="none"/>
              </w:rPr>
            </w:pPr>
            <w:r>
              <w:rPr>
                <w:rFonts w:hint="eastAsia" w:ascii="宋体" w:hAnsi="宋体" w:eastAsia="宋体" w:cs="宋体"/>
                <w:snapToGrid/>
                <w:color w:val="auto"/>
                <w:kern w:val="0"/>
                <w:sz w:val="24"/>
                <w:szCs w:val="24"/>
                <w:highlight w:val="none"/>
              </w:rPr>
              <w:t>8.云端预设智能体不少于10种，支持用户根据需要随时选用智能体。</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三、元宇宙空间多人互动</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1.元宇宙多人空间可实现在线、远程的多人会议体验。</w:t>
            </w:r>
          </w:p>
          <w:p w14:paraId="15DA3352">
            <w:pPr>
              <w:widowControl/>
              <w:spacing w:line="360" w:lineRule="auto"/>
              <w:jc w:val="left"/>
              <w:rPr>
                <w:rFonts w:hint="eastAsia" w:ascii="宋体" w:hAnsi="宋体" w:eastAsia="宋体" w:cs="宋体"/>
                <w:b/>
                <w:bCs/>
                <w:snapToGrid/>
                <w:color w:val="auto"/>
                <w:kern w:val="0"/>
                <w:sz w:val="24"/>
                <w:szCs w:val="24"/>
                <w:highlight w:val="none"/>
              </w:rPr>
            </w:pPr>
            <w:r>
              <w:rPr>
                <w:rFonts w:hint="eastAsia" w:ascii="宋体" w:hAnsi="宋体" w:eastAsia="宋体" w:cs="宋体"/>
                <w:snapToGrid/>
                <w:color w:val="auto"/>
                <w:kern w:val="0"/>
                <w:sz w:val="24"/>
                <w:szCs w:val="24"/>
                <w:highlight w:val="none"/>
              </w:rPr>
              <w:t>2.支持查看已创建空间的基本信息，如空间名称、创建者、访问状态、开始时间、空间现有成员数、空间最大成员数、空间场景缩略图等。</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3.支持创建空间，可编辑和设置空间细信息及权限，不限于空间名称、密码、是否公开、多人语音权限、场景选择、空间人数上限、开始时间、预计时长等。</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4.设置公开的空间，所有用户都可在互联网的空间列表中看到或查询到该空间；设置非公开的空间，互联网的全部空间列表中不会对外显示。</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5.支持空间搜索功能，用户可以通过搜索空间名称或空间号进行查找。</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6.空间内支持系统消息通知，实时广播成员加入/离开空间时的消息提醒。</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lang w:val="en-US" w:eastAsia="zh-CN"/>
              </w:rPr>
              <w:t>7</w:t>
            </w:r>
            <w:r>
              <w:rPr>
                <w:rFonts w:hint="eastAsia" w:ascii="宋体" w:hAnsi="宋体" w:eastAsia="宋体" w:cs="宋体"/>
                <w:snapToGrid/>
                <w:color w:val="auto"/>
                <w:kern w:val="0"/>
                <w:sz w:val="24"/>
                <w:szCs w:val="24"/>
                <w:highlight w:val="none"/>
              </w:rPr>
              <w:t>.房主权限：</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（1）支持空间内打开本地内容、调用素材库；</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（2）支持查看空间内成员列表和已连接成员数，成员信息、权限情况；</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（3）支持一键全体静音、一键全体自由移动；</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（4）支持设置空间内成员的语音权限、移动权限、素材库权限；</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（5）支持选择成员设为管理员，协助教师管理空间秩序；</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（6）支持随时调整空间的呈现人数上限；</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（7）支持召唤集合功能：房主可以将空间中的全部成员一键集合到指定区域；</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（8）支持视角跟随功能，用户端会实时同步跟随房主的第一视角；</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lang w:val="en-US" w:eastAsia="zh-CN"/>
              </w:rPr>
              <w:t>8</w:t>
            </w:r>
            <w:r>
              <w:rPr>
                <w:rFonts w:hint="eastAsia" w:ascii="宋体" w:hAnsi="宋体" w:eastAsia="宋体" w:cs="宋体"/>
                <w:snapToGrid/>
                <w:color w:val="auto"/>
                <w:kern w:val="0"/>
                <w:sz w:val="24"/>
                <w:szCs w:val="24"/>
                <w:highlight w:val="none"/>
              </w:rPr>
              <w:t>.成员权限：</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（1）支持表情互动、重置角色位置；</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（2）移动权限开启时，用户可以自由移动；</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（3）成员可通过申请麦克风权限获取实时语音交流；</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lang w:val="en-US" w:eastAsia="zh-CN"/>
              </w:rPr>
              <w:t>9</w:t>
            </w:r>
            <w:r>
              <w:rPr>
                <w:rFonts w:hint="eastAsia" w:ascii="宋体" w:hAnsi="宋体" w:eastAsia="宋体" w:cs="宋体"/>
                <w:snapToGrid/>
                <w:color w:val="auto"/>
                <w:kern w:val="0"/>
                <w:sz w:val="24"/>
                <w:szCs w:val="24"/>
                <w:highlight w:val="none"/>
              </w:rPr>
              <w:t>支持空间内多人互动：</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（1）用户可以通过虚拟摇杆或键盘WASD控制自己的数字人角色在场景中移动。</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（2）支持表情互动：包括招手、微笑、点赞、鼓掌、跳舞；</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（3）支持空间内聊天系统，支持文字输入、语音输入和表情发送，支持自定义聊天文字的颜色，能够智能屏蔽敏感词。</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四、元宇宙内容创作3D场景</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1.支持用户自定义创作元宇宙内容；创作场景中支持单体模型、VR全景图、VR全景视频、图片、动画、音/视频、360旋转图以及文章等素材创建和设置，无需编程通过简单拖拽即可实现素材的自由创建和编辑，通过以上素材构建3D场景。</w:t>
            </w:r>
            <w:r>
              <w:rPr>
                <w:rFonts w:hint="eastAsia" w:ascii="宋体" w:hAnsi="宋体" w:eastAsia="宋体" w:cs="宋体"/>
                <w:b/>
                <w:bCs/>
                <w:snapToGrid/>
                <w:color w:val="auto"/>
                <w:kern w:val="0"/>
                <w:sz w:val="24"/>
                <w:szCs w:val="24"/>
                <w:highlight w:val="none"/>
              </w:rPr>
              <w:t>（需提供</w:t>
            </w:r>
            <w:r>
              <w:rPr>
                <w:rFonts w:hint="eastAsia" w:ascii="宋体" w:hAnsi="宋体" w:eastAsia="宋体" w:cs="宋体"/>
                <w:b/>
                <w:bCs/>
                <w:snapToGrid/>
                <w:color w:val="auto"/>
                <w:kern w:val="0"/>
                <w:sz w:val="24"/>
                <w:szCs w:val="24"/>
                <w:highlight w:val="none"/>
                <w:lang w:val="en-US" w:eastAsia="zh-CN"/>
              </w:rPr>
              <w:t>演示或提供第三方检测报告</w:t>
            </w:r>
            <w:r>
              <w:rPr>
                <w:rFonts w:hint="eastAsia" w:ascii="宋体" w:hAnsi="宋体" w:eastAsia="宋体" w:cs="宋体"/>
                <w:b/>
                <w:bCs/>
                <w:snapToGrid/>
                <w:color w:val="auto"/>
                <w:kern w:val="0"/>
                <w:sz w:val="24"/>
                <w:szCs w:val="24"/>
                <w:highlight w:val="none"/>
              </w:rPr>
              <w:t>）</w:t>
            </w:r>
          </w:p>
          <w:p w14:paraId="3D5F54AD">
            <w:pPr>
              <w:widowControl/>
              <w:spacing w:line="360" w:lineRule="auto"/>
              <w:jc w:val="left"/>
              <w:rPr>
                <w:rFonts w:hint="eastAsia" w:ascii="宋体" w:hAnsi="宋体" w:eastAsia="宋体" w:cs="宋体"/>
                <w:snapToGrid/>
                <w:color w:val="auto"/>
                <w:kern w:val="0"/>
                <w:sz w:val="24"/>
                <w:szCs w:val="24"/>
                <w:highlight w:val="none"/>
              </w:rPr>
            </w:pPr>
            <w:r>
              <w:rPr>
                <w:rFonts w:hint="eastAsia" w:ascii="宋体" w:hAnsi="宋体" w:eastAsia="宋体" w:cs="宋体"/>
                <w:snapToGrid/>
                <w:color w:val="auto"/>
                <w:kern w:val="0"/>
                <w:sz w:val="24"/>
                <w:szCs w:val="24"/>
                <w:highlight w:val="none"/>
              </w:rPr>
              <w:t>2.支持将基于素材库创作的内容保存，保存后的内容可以跟随账号跨平台跨终端打开。</w:t>
            </w:r>
          </w:p>
          <w:p w14:paraId="458F2A4D">
            <w:pPr>
              <w:widowControl/>
              <w:spacing w:line="360" w:lineRule="auto"/>
              <w:jc w:val="left"/>
              <w:rPr>
                <w:rFonts w:hint="eastAsia" w:ascii="宋体" w:hAnsi="宋体" w:eastAsia="宋体" w:cs="宋体"/>
                <w:snapToGrid/>
                <w:color w:val="auto"/>
                <w:kern w:val="0"/>
                <w:sz w:val="24"/>
                <w:szCs w:val="24"/>
                <w:highlight w:val="none"/>
              </w:rPr>
            </w:pPr>
            <w:r>
              <w:rPr>
                <w:rFonts w:hint="eastAsia" w:ascii="宋体" w:hAnsi="宋体" w:eastAsia="宋体" w:cs="宋体"/>
                <w:snapToGrid/>
                <w:color w:val="auto"/>
                <w:kern w:val="0"/>
                <w:sz w:val="24"/>
                <w:szCs w:val="24"/>
                <w:highlight w:val="none"/>
                <w:lang w:val="en-US" w:eastAsia="zh-CN"/>
              </w:rPr>
              <w:t>3.</w:t>
            </w:r>
            <w:r>
              <w:rPr>
                <w:rFonts w:hint="eastAsia" w:ascii="宋体" w:hAnsi="宋体" w:eastAsia="宋体" w:cs="宋体"/>
                <w:snapToGrid/>
                <w:color w:val="auto"/>
                <w:kern w:val="0"/>
                <w:sz w:val="24"/>
                <w:szCs w:val="24"/>
                <w:highlight w:val="none"/>
              </w:rPr>
              <w:t>素材包含三维模型、PPT文档、PNG动画、音频、视频/全景视频、图片/全景图片、360旋转图、链接、数字人、文章等多种类别，支持对创建的素材进行缩放、旋转、移动、复制、删除等编辑操作。</w:t>
            </w:r>
          </w:p>
          <w:p w14:paraId="1BDEED9B">
            <w:pPr>
              <w:widowControl/>
              <w:spacing w:line="360" w:lineRule="auto"/>
              <w:jc w:val="left"/>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val="en-US" w:eastAsia="zh-CN"/>
              </w:rPr>
              <w:t>4.</w:t>
            </w:r>
            <w:r>
              <w:rPr>
                <w:rFonts w:hint="eastAsia" w:ascii="宋体" w:hAnsi="宋体" w:eastAsia="宋体" w:cs="宋体"/>
                <w:snapToGrid/>
                <w:color w:val="auto"/>
                <w:kern w:val="0"/>
                <w:sz w:val="24"/>
                <w:szCs w:val="24"/>
                <w:highlight w:val="none"/>
              </w:rPr>
              <w:t>支持对创建的素材添加互动热点</w:t>
            </w:r>
            <w:r>
              <w:rPr>
                <w:rFonts w:hint="eastAsia" w:ascii="宋体" w:hAnsi="宋体" w:eastAsia="宋体" w:cs="宋体"/>
                <w:snapToGrid/>
                <w:color w:val="auto"/>
                <w:kern w:val="0"/>
                <w:sz w:val="24"/>
                <w:szCs w:val="24"/>
                <w:highlight w:val="none"/>
                <w:lang w:eastAsia="zh-CN"/>
              </w:rPr>
              <w:t>。</w:t>
            </w:r>
          </w:p>
          <w:p w14:paraId="414739A9">
            <w:pPr>
              <w:widowControl/>
              <w:spacing w:line="360" w:lineRule="auto"/>
              <w:jc w:val="left"/>
              <w:rPr>
                <w:rFonts w:hint="eastAsia" w:ascii="宋体" w:hAnsi="宋体" w:eastAsia="宋体" w:cs="宋体"/>
                <w:snapToGrid/>
                <w:color w:val="auto"/>
                <w:kern w:val="0"/>
                <w:sz w:val="24"/>
                <w:szCs w:val="24"/>
                <w:highlight w:val="none"/>
              </w:rPr>
            </w:pPr>
            <w:r>
              <w:rPr>
                <w:rFonts w:hint="eastAsia" w:ascii="宋体" w:hAnsi="宋体" w:eastAsia="宋体" w:cs="宋体"/>
                <w:snapToGrid/>
                <w:color w:val="auto"/>
                <w:kern w:val="0"/>
                <w:sz w:val="24"/>
                <w:szCs w:val="24"/>
                <w:highlight w:val="none"/>
                <w:lang w:val="en-US" w:eastAsia="zh-CN"/>
              </w:rPr>
              <w:t>5</w:t>
            </w:r>
            <w:r>
              <w:rPr>
                <w:rFonts w:hint="eastAsia" w:ascii="宋体" w:hAnsi="宋体" w:eastAsia="宋体" w:cs="宋体"/>
                <w:snapToGrid/>
                <w:color w:val="auto"/>
                <w:kern w:val="0"/>
                <w:sz w:val="24"/>
                <w:szCs w:val="24"/>
                <w:highlight w:val="none"/>
              </w:rPr>
              <w:t>.支持三维模型、PPT文档、PNG动画、音频、视频/全景视频、图片/全景图片、360旋转图、链接、数字人、文章等多种类型。</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五、支持AI生成素材</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1.支持文字生成，支持用户通过文字输入描述需要生成的对象，可以尝试指定风格和色彩；支持图片生成，支持用户选择导入一张图片进行生成，图片支持从本地上传。</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2.支持基于输入的文本自动生成图片，支持一键重新生成图片，支持生成4:3</w:t>
            </w:r>
            <w:r>
              <w:rPr>
                <w:rFonts w:hint="eastAsia" w:ascii="宋体" w:hAnsi="宋体" w:eastAsia="宋体" w:cs="宋体"/>
                <w:snapToGrid/>
                <w:color w:val="auto"/>
                <w:kern w:val="0"/>
                <w:sz w:val="24"/>
                <w:szCs w:val="24"/>
                <w:highlight w:val="none"/>
                <w:lang w:eastAsia="zh-CN"/>
              </w:rPr>
              <w:t>、</w:t>
            </w:r>
            <w:r>
              <w:rPr>
                <w:rFonts w:hint="eastAsia" w:ascii="宋体" w:hAnsi="宋体" w:eastAsia="宋体" w:cs="宋体"/>
                <w:snapToGrid/>
                <w:color w:val="auto"/>
                <w:kern w:val="0"/>
                <w:sz w:val="24"/>
                <w:szCs w:val="24"/>
                <w:highlight w:val="none"/>
              </w:rPr>
              <w:t>16:9</w:t>
            </w:r>
            <w:r>
              <w:rPr>
                <w:rFonts w:hint="eastAsia" w:ascii="宋体" w:hAnsi="宋体" w:eastAsia="宋体" w:cs="宋体"/>
                <w:snapToGrid/>
                <w:color w:val="auto"/>
                <w:kern w:val="0"/>
                <w:sz w:val="24"/>
                <w:szCs w:val="24"/>
                <w:highlight w:val="none"/>
                <w:lang w:val="en-US" w:eastAsia="zh-CN"/>
              </w:rPr>
              <w:t>等</w:t>
            </w:r>
            <w:r>
              <w:rPr>
                <w:rFonts w:hint="eastAsia" w:ascii="宋体" w:hAnsi="宋体" w:eastAsia="宋体" w:cs="宋体"/>
                <w:snapToGrid/>
                <w:color w:val="auto"/>
                <w:kern w:val="0"/>
                <w:sz w:val="24"/>
                <w:szCs w:val="24"/>
                <w:highlight w:val="none"/>
              </w:rPr>
              <w:t>多种尺寸的图片，支持基于生成的图片快速生成3D模型；支持根据输入的文本自动生成5s或10秒的视频，支持生成16:9、4:3</w:t>
            </w:r>
            <w:r>
              <w:rPr>
                <w:rFonts w:hint="eastAsia" w:ascii="宋体" w:hAnsi="宋体" w:eastAsia="宋体" w:cs="宋体"/>
                <w:snapToGrid/>
                <w:color w:val="auto"/>
                <w:kern w:val="0"/>
                <w:sz w:val="24"/>
                <w:szCs w:val="24"/>
                <w:highlight w:val="none"/>
                <w:lang w:val="en-US" w:eastAsia="zh-CN"/>
              </w:rPr>
              <w:t>等</w:t>
            </w:r>
            <w:r>
              <w:rPr>
                <w:rFonts w:hint="eastAsia" w:ascii="宋体" w:hAnsi="宋体" w:eastAsia="宋体" w:cs="宋体"/>
                <w:snapToGrid/>
                <w:color w:val="auto"/>
                <w:kern w:val="0"/>
                <w:sz w:val="24"/>
                <w:szCs w:val="24"/>
                <w:highlight w:val="none"/>
              </w:rPr>
              <w:t>尺寸规格的视频，支持生成480p、720p、1080p三种分辨率规格的视频。</w:t>
            </w:r>
          </w:p>
          <w:p w14:paraId="03673A55">
            <w:pPr>
              <w:widowControl/>
              <w:numPr>
                <w:ilvl w:val="0"/>
                <w:numId w:val="0"/>
              </w:numPr>
              <w:spacing w:line="360" w:lineRule="auto"/>
              <w:jc w:val="left"/>
              <w:rPr>
                <w:rFonts w:hint="eastAsia" w:ascii="宋体" w:hAnsi="宋体" w:eastAsia="宋体" w:cs="宋体"/>
                <w:snapToGrid/>
                <w:color w:val="auto"/>
                <w:kern w:val="0"/>
                <w:sz w:val="24"/>
                <w:szCs w:val="24"/>
                <w:highlight w:val="none"/>
              </w:rPr>
            </w:pPr>
            <w:r>
              <w:rPr>
                <w:rFonts w:hint="eastAsia" w:ascii="宋体" w:hAnsi="宋体" w:eastAsia="宋体" w:cs="宋体"/>
                <w:snapToGrid/>
                <w:color w:val="auto"/>
                <w:kern w:val="0"/>
                <w:sz w:val="24"/>
                <w:szCs w:val="24"/>
                <w:highlight w:val="none"/>
              </w:rPr>
              <w:t>六、AI智能助手</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1.支持语音唤醒，通过语音说出唤醒词直接唤起3D数字人并开始对话。</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2.支持语音跟AI数字人进行连续多轮对话。</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3.支持随时打断，在AI数字人回答过程中，可以随时说出新的问题，中断其当前回答，针对新的问题进行回答。</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4.支持对接主流国产大模型API接口标准或国内主流大模型API格式；</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6.支持创建新对话和保留历史对话；</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lang w:val="en-US" w:eastAsia="zh-CN"/>
              </w:rPr>
              <w:t>7</w:t>
            </w:r>
            <w:r>
              <w:rPr>
                <w:rFonts w:hint="eastAsia" w:ascii="宋体" w:hAnsi="宋体" w:eastAsia="宋体" w:cs="宋体"/>
                <w:snapToGrid/>
                <w:color w:val="auto"/>
                <w:kern w:val="0"/>
                <w:sz w:val="24"/>
                <w:szCs w:val="24"/>
                <w:highlight w:val="none"/>
              </w:rPr>
              <w:t>.支持自定义创建自己的智能体，支持通过编辑提示词和上传本地文件作为知识库创建AI智能体。</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七、学习记录</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1.查看用户的个人学习记录，记录指标包括但不限于课程名称、课件名称、学习时间、学习次数、详情查看等。</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八、云端内容/本地内容</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1.云端内容模块可获取云端在线的课程分类，以及不同课程分类下的课件列表，支持从云端内容库购买内容和下载课件到本地。本地内容支持离线状态下打开进行观看和学习。</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2.支持多种形式的内容，包括全景视频内容、全景交互内容。</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3.支持查看课程详情，具有课程封面、名称、介绍及该课程下的课件。</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4.全景视频内容支持拖动进度条调节课件进度、快进/快退；全景交互内容支持上/下场景切换、支持任一场景跳转切换。</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5.支持在内容中创建元宇宙多人空间；支持多数字人同空间互动，用户以数字人形象出现在场景中，可以看到其他用户的数字人形象，支持元宇宙空间的所有功能。</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6.内容中支持云端素材库调用：用户可以从素材库中调取云端素材（模型/PPT/图片/视频等）辅助教学，可以对创建的素材进行编辑操作，实现课堂的辅助教学或基于内容的二次创作。</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7.内容中支持自定义设置数字人素材进行讲解播报，可以根据不同点位展示的画面，通过点拖拉拽的方式自行设置一个或多个3D数字人素材。</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九、下载管理</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1.正在下载的课件可以通过下载窗口查看下载进度，支持对下载任务进行开始、暂停、取消等操作。</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十、系统设置：</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1.支持查看设备信息，包括设备ID及账号角色类型（教师/学生）。</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2.支持语言选择，包括简体中文、英文。</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3.支持设定护眼模式、空间虚拟摇杆、空间地面、视角控制、虚拟软键盘的显示与使用习惯等操作。</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4.支持自定义自身角色的身高，身高将影响空间中的视角高度。</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十一、个人中心：</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1.支持修改昵称、性别、支持角色换装功能，通过换装系统自定义自己的数字人形象。</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2.预置不少于6种基础角色模型。</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3.支持修改手机号和登录密码。</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十二、教学工作站</w:t>
            </w:r>
          </w:p>
          <w:p w14:paraId="7A9325DE">
            <w:pPr>
              <w:widowControl/>
              <w:numPr>
                <w:ilvl w:val="0"/>
                <w:numId w:val="0"/>
              </w:numPr>
              <w:spacing w:line="360" w:lineRule="auto"/>
              <w:jc w:val="left"/>
              <w:rPr>
                <w:rFonts w:hint="eastAsia" w:ascii="宋体" w:hAnsi="宋体" w:eastAsia="宋体" w:cs="宋体"/>
                <w:snapToGrid/>
                <w:color w:val="auto"/>
                <w:kern w:val="0"/>
                <w:sz w:val="24"/>
                <w:szCs w:val="24"/>
                <w:highlight w:val="none"/>
              </w:rPr>
            </w:pPr>
            <w:r>
              <w:rPr>
                <w:rFonts w:hint="eastAsia" w:ascii="宋体" w:hAnsi="宋体" w:eastAsia="宋体" w:cs="宋体"/>
                <w:snapToGrid/>
                <w:color w:val="auto"/>
                <w:kern w:val="0"/>
                <w:sz w:val="24"/>
                <w:szCs w:val="24"/>
                <w:highlight w:val="none"/>
              </w:rPr>
              <w:t>1.CPU：≥10核心和16线程，最大频率4.6GHZ，</w:t>
            </w:r>
          </w:p>
          <w:p w14:paraId="121A7073">
            <w:pPr>
              <w:widowControl/>
              <w:numPr>
                <w:ilvl w:val="0"/>
                <w:numId w:val="0"/>
              </w:numPr>
              <w:spacing w:line="360" w:lineRule="auto"/>
              <w:jc w:val="left"/>
              <w:rPr>
                <w:rFonts w:hint="eastAsia" w:ascii="宋体" w:hAnsi="宋体" w:eastAsia="宋体" w:cs="宋体"/>
                <w:snapToGrid/>
                <w:color w:val="auto"/>
                <w:kern w:val="0"/>
                <w:sz w:val="24"/>
                <w:szCs w:val="24"/>
                <w:highlight w:val="none"/>
              </w:rPr>
            </w:pPr>
            <w:r>
              <w:rPr>
                <w:rFonts w:hint="eastAsia" w:ascii="宋体" w:hAnsi="宋体" w:eastAsia="宋体" w:cs="宋体"/>
                <w:snapToGrid/>
                <w:color w:val="auto"/>
                <w:kern w:val="0"/>
                <w:sz w:val="24"/>
                <w:szCs w:val="24"/>
                <w:highlight w:val="none"/>
              </w:rPr>
              <w:t>2.内存≥16GB；</w:t>
            </w:r>
          </w:p>
          <w:p w14:paraId="09016970">
            <w:pPr>
              <w:widowControl/>
              <w:numPr>
                <w:ilvl w:val="0"/>
                <w:numId w:val="0"/>
              </w:numPr>
              <w:spacing w:line="360" w:lineRule="auto"/>
              <w:jc w:val="left"/>
              <w:rPr>
                <w:rFonts w:hint="eastAsia" w:ascii="宋体" w:hAnsi="宋体" w:eastAsia="宋体" w:cs="宋体"/>
                <w:snapToGrid/>
                <w:color w:val="auto"/>
                <w:kern w:val="0"/>
                <w:sz w:val="24"/>
                <w:szCs w:val="24"/>
                <w:highlight w:val="none"/>
              </w:rPr>
            </w:pPr>
            <w:r>
              <w:rPr>
                <w:rFonts w:hint="eastAsia" w:ascii="宋体" w:hAnsi="宋体" w:eastAsia="宋体" w:cs="宋体"/>
                <w:snapToGrid/>
                <w:color w:val="auto"/>
                <w:kern w:val="0"/>
                <w:sz w:val="24"/>
                <w:szCs w:val="24"/>
                <w:highlight w:val="none"/>
              </w:rPr>
              <w:t>3.硬盘≥不低于512GB SSD；</w:t>
            </w:r>
          </w:p>
          <w:p w14:paraId="7510F7AC">
            <w:pPr>
              <w:widowControl/>
              <w:numPr>
                <w:ilvl w:val="0"/>
                <w:numId w:val="0"/>
              </w:numPr>
              <w:spacing w:line="360" w:lineRule="auto"/>
              <w:jc w:val="left"/>
              <w:rPr>
                <w:rFonts w:hint="eastAsia" w:ascii="宋体" w:hAnsi="宋体" w:eastAsia="宋体" w:cs="宋体"/>
                <w:snapToGrid/>
                <w:color w:val="auto"/>
                <w:kern w:val="0"/>
                <w:sz w:val="24"/>
                <w:szCs w:val="24"/>
                <w:highlight w:val="none"/>
              </w:rPr>
            </w:pPr>
            <w:r>
              <w:rPr>
                <w:rFonts w:hint="eastAsia" w:ascii="宋体" w:hAnsi="宋体" w:eastAsia="宋体" w:cs="宋体"/>
                <w:snapToGrid/>
                <w:color w:val="auto"/>
                <w:kern w:val="0"/>
                <w:sz w:val="24"/>
                <w:szCs w:val="24"/>
                <w:highlight w:val="none"/>
              </w:rPr>
              <w:t>4.配置≥6G独立显卡；</w:t>
            </w:r>
          </w:p>
          <w:p w14:paraId="10254381">
            <w:pPr>
              <w:widowControl/>
              <w:numPr>
                <w:ilvl w:val="0"/>
                <w:numId w:val="0"/>
              </w:numPr>
              <w:spacing w:line="360" w:lineRule="auto"/>
              <w:jc w:val="left"/>
              <w:rPr>
                <w:rFonts w:hint="eastAsia" w:ascii="宋体" w:hAnsi="宋体" w:eastAsia="宋体" w:cs="宋体"/>
                <w:snapToGrid/>
                <w:color w:val="auto"/>
                <w:kern w:val="0"/>
                <w:sz w:val="24"/>
                <w:szCs w:val="24"/>
                <w:highlight w:val="none"/>
              </w:rPr>
            </w:pPr>
            <w:r>
              <w:rPr>
                <w:rFonts w:hint="eastAsia" w:ascii="宋体" w:hAnsi="宋体" w:eastAsia="宋体" w:cs="宋体"/>
                <w:snapToGrid/>
                <w:color w:val="auto"/>
                <w:kern w:val="0"/>
                <w:sz w:val="24"/>
                <w:szCs w:val="24"/>
                <w:highlight w:val="none"/>
              </w:rPr>
              <w:t>5.配置≥23.8寸显示器。</w:t>
            </w:r>
          </w:p>
          <w:p w14:paraId="7D995C6E">
            <w:pPr>
              <w:widowControl/>
              <w:numPr>
                <w:ilvl w:val="0"/>
                <w:numId w:val="0"/>
              </w:numPr>
              <w:spacing w:line="360" w:lineRule="auto"/>
              <w:jc w:val="left"/>
              <w:rPr>
                <w:rFonts w:hint="eastAsia" w:ascii="宋体" w:hAnsi="宋体" w:eastAsia="宋体" w:cs="宋体"/>
                <w:snapToGrid/>
                <w:color w:val="auto"/>
                <w:kern w:val="0"/>
                <w:sz w:val="24"/>
                <w:szCs w:val="24"/>
                <w:highlight w:val="none"/>
              </w:rPr>
            </w:pPr>
            <w:r>
              <w:rPr>
                <w:rFonts w:hint="eastAsia" w:ascii="宋体" w:hAnsi="宋体" w:eastAsia="宋体" w:cs="宋体"/>
                <w:snapToGrid/>
                <w:color w:val="auto"/>
                <w:kern w:val="0"/>
                <w:sz w:val="24"/>
                <w:szCs w:val="24"/>
                <w:highlight w:val="none"/>
              </w:rPr>
              <w:t>或</w:t>
            </w:r>
            <w:r>
              <w:rPr>
                <w:rFonts w:hint="eastAsia" w:ascii="宋体" w:hAnsi="宋体" w:eastAsia="宋体" w:cs="宋体"/>
                <w:snapToGrid/>
                <w:color w:val="auto"/>
                <w:kern w:val="0"/>
                <w:sz w:val="24"/>
                <w:szCs w:val="24"/>
                <w:highlight w:val="none"/>
                <w:lang w:val="en-US" w:eastAsia="zh-CN"/>
              </w:rPr>
              <w:t>提供</w:t>
            </w:r>
            <w:r>
              <w:rPr>
                <w:rFonts w:hint="eastAsia" w:ascii="宋体" w:hAnsi="宋体" w:eastAsia="宋体" w:cs="宋体"/>
                <w:snapToGrid/>
                <w:color w:val="auto"/>
                <w:kern w:val="0"/>
                <w:sz w:val="24"/>
                <w:szCs w:val="24"/>
                <w:highlight w:val="none"/>
              </w:rPr>
              <w:t>同等性能以上</w:t>
            </w:r>
            <w:r>
              <w:rPr>
                <w:rFonts w:hint="eastAsia" w:ascii="宋体" w:hAnsi="宋体" w:eastAsia="宋体" w:cs="宋体"/>
                <w:snapToGrid/>
                <w:color w:val="auto"/>
                <w:kern w:val="0"/>
                <w:sz w:val="24"/>
                <w:szCs w:val="24"/>
                <w:highlight w:val="none"/>
                <w:lang w:val="en-US" w:eastAsia="zh-CN"/>
              </w:rPr>
              <w:t>的</w:t>
            </w:r>
            <w:r>
              <w:rPr>
                <w:rFonts w:hint="eastAsia" w:ascii="宋体" w:hAnsi="宋体" w:eastAsia="宋体" w:cs="宋体"/>
                <w:snapToGrid/>
                <w:color w:val="auto"/>
                <w:kern w:val="0"/>
                <w:sz w:val="24"/>
                <w:szCs w:val="24"/>
                <w:highlight w:val="none"/>
              </w:rPr>
              <w:t>的服务器</w:t>
            </w:r>
          </w:p>
          <w:p w14:paraId="1E928184">
            <w:pPr>
              <w:widowControl/>
              <w:numPr>
                <w:ilvl w:val="0"/>
                <w:numId w:val="0"/>
              </w:numPr>
              <w:spacing w:line="360" w:lineRule="auto"/>
              <w:jc w:val="left"/>
              <w:rPr>
                <w:rFonts w:hint="eastAsia" w:ascii="宋体" w:hAnsi="宋体" w:eastAsia="宋体" w:cs="宋体"/>
                <w:snapToGrid/>
                <w:color w:val="auto"/>
                <w:kern w:val="0"/>
                <w:sz w:val="24"/>
                <w:szCs w:val="24"/>
                <w:highlight w:val="none"/>
                <w:lang w:val="en-US" w:eastAsia="zh-CN"/>
              </w:rPr>
            </w:pPr>
            <w:r>
              <w:rPr>
                <w:rFonts w:hint="eastAsia" w:ascii="宋体" w:hAnsi="宋体" w:eastAsia="宋体" w:cs="宋体"/>
                <w:b/>
                <w:bCs/>
                <w:snapToGrid/>
                <w:color w:val="auto"/>
                <w:kern w:val="0"/>
                <w:sz w:val="24"/>
                <w:szCs w:val="24"/>
                <w:highlight w:val="none"/>
              </w:rPr>
              <w:t>算力</w:t>
            </w:r>
            <w:r>
              <w:rPr>
                <w:rFonts w:hint="eastAsia" w:ascii="宋体" w:hAnsi="宋体" w:eastAsia="宋体" w:cs="宋体"/>
                <w:b/>
                <w:bCs/>
                <w:snapToGrid/>
                <w:color w:val="auto"/>
                <w:kern w:val="0"/>
                <w:sz w:val="24"/>
                <w:szCs w:val="24"/>
                <w:highlight w:val="none"/>
                <w:lang w:val="en-US" w:eastAsia="zh-CN"/>
              </w:rPr>
              <w:t>补充说明：</w:t>
            </w:r>
            <w:r>
              <w:rPr>
                <w:rFonts w:hint="eastAsia" w:ascii="宋体" w:hAnsi="宋体" w:eastAsia="宋体" w:cs="宋体"/>
                <w:b/>
                <w:bCs/>
                <w:snapToGrid/>
                <w:color w:val="auto"/>
                <w:kern w:val="0"/>
                <w:sz w:val="24"/>
                <w:szCs w:val="24"/>
                <w:highlight w:val="none"/>
              </w:rPr>
              <w:t>AI生成功能需兼容云端API调用模式，本地硬件需满足生成内容的流畅渲染与播放</w:t>
            </w:r>
            <w:r>
              <w:rPr>
                <w:rFonts w:hint="eastAsia" w:ascii="宋体" w:hAnsi="宋体" w:eastAsia="宋体" w:cs="宋体"/>
                <w:b/>
                <w:bCs/>
                <w:snapToGrid/>
                <w:color w:val="auto"/>
                <w:kern w:val="0"/>
                <w:sz w:val="24"/>
                <w:szCs w:val="24"/>
                <w:highlight w:val="none"/>
                <w:lang w:eastAsia="zh-CN"/>
              </w:rPr>
              <w:t>。</w:t>
            </w:r>
          </w:p>
        </w:tc>
      </w:tr>
      <w:tr w14:paraId="5C873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46" w:type="dxa"/>
            <w:vAlign w:val="center"/>
          </w:tcPr>
          <w:p w14:paraId="311DD8C2">
            <w:pPr>
              <w:widowControl/>
              <w:spacing w:line="360" w:lineRule="auto"/>
              <w:jc w:val="center"/>
              <w:rPr>
                <w:rFonts w:hint="eastAsia" w:ascii="宋体" w:hAnsi="宋体" w:eastAsia="宋体" w:cs="宋体"/>
                <w:snapToGrid/>
                <w:color w:val="auto"/>
                <w:kern w:val="0"/>
                <w:sz w:val="24"/>
                <w:szCs w:val="24"/>
                <w:highlight w:val="none"/>
              </w:rPr>
            </w:pPr>
            <w:r>
              <w:rPr>
                <w:rFonts w:hint="eastAsia" w:ascii="宋体" w:hAnsi="宋体" w:eastAsia="宋体" w:cs="宋体"/>
                <w:snapToGrid/>
                <w:color w:val="auto"/>
                <w:kern w:val="0"/>
                <w:sz w:val="24"/>
                <w:szCs w:val="24"/>
                <w:highlight w:val="none"/>
              </w:rPr>
              <w:t>3</w:t>
            </w:r>
          </w:p>
        </w:tc>
        <w:tc>
          <w:tcPr>
            <w:tcW w:w="763" w:type="dxa"/>
            <w:vAlign w:val="center"/>
          </w:tcPr>
          <w:p w14:paraId="368DC383">
            <w:pPr>
              <w:widowControl/>
              <w:spacing w:line="360" w:lineRule="auto"/>
              <w:jc w:val="center"/>
              <w:rPr>
                <w:rFonts w:hint="eastAsia" w:ascii="宋体" w:hAnsi="宋体" w:eastAsia="宋体" w:cs="宋体"/>
                <w:snapToGrid/>
                <w:color w:val="auto"/>
                <w:kern w:val="0"/>
                <w:sz w:val="24"/>
                <w:szCs w:val="24"/>
                <w:highlight w:val="none"/>
              </w:rPr>
            </w:pPr>
            <w:r>
              <w:rPr>
                <w:rFonts w:hint="eastAsia" w:ascii="宋体" w:hAnsi="宋体" w:eastAsia="宋体" w:cs="宋体"/>
                <w:snapToGrid/>
                <w:color w:val="auto"/>
                <w:kern w:val="0"/>
                <w:sz w:val="24"/>
                <w:szCs w:val="24"/>
                <w:highlight w:val="none"/>
              </w:rPr>
              <w:t>AR教学授课设备</w:t>
            </w:r>
          </w:p>
        </w:tc>
        <w:tc>
          <w:tcPr>
            <w:tcW w:w="7790" w:type="dxa"/>
            <w:vAlign w:val="center"/>
          </w:tcPr>
          <w:p w14:paraId="66148D97">
            <w:pPr>
              <w:widowControl/>
              <w:numPr>
                <w:ilvl w:val="0"/>
                <w:numId w:val="1"/>
              </w:numPr>
              <w:spacing w:line="360" w:lineRule="auto"/>
              <w:jc w:val="left"/>
              <w:rPr>
                <w:rFonts w:hint="eastAsia" w:ascii="宋体" w:hAnsi="宋体" w:eastAsia="宋体" w:cs="宋体"/>
                <w:snapToGrid/>
                <w:color w:val="auto"/>
                <w:kern w:val="0"/>
                <w:sz w:val="24"/>
                <w:szCs w:val="24"/>
                <w:highlight w:val="none"/>
              </w:rPr>
            </w:pPr>
            <w:r>
              <w:rPr>
                <w:rFonts w:hint="eastAsia" w:ascii="宋体" w:hAnsi="宋体" w:eastAsia="宋体" w:cs="宋体"/>
                <w:snapToGrid/>
                <w:color w:val="auto"/>
                <w:kern w:val="0"/>
                <w:sz w:val="24"/>
                <w:szCs w:val="24"/>
                <w:highlight w:val="none"/>
              </w:rPr>
              <w:t>系统基础功能</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1.软件</w:t>
            </w:r>
            <w:r>
              <w:rPr>
                <w:rFonts w:hint="eastAsia" w:ascii="宋体" w:hAnsi="宋体" w:eastAsia="宋体" w:cs="宋体"/>
                <w:snapToGrid/>
                <w:color w:val="auto"/>
                <w:kern w:val="0"/>
                <w:sz w:val="24"/>
                <w:szCs w:val="24"/>
                <w:highlight w:val="none"/>
                <w:lang w:val="en-US" w:eastAsia="zh-CN"/>
              </w:rPr>
              <w:t>具有</w:t>
            </w:r>
            <w:r>
              <w:rPr>
                <w:rFonts w:hint="eastAsia" w:ascii="宋体" w:hAnsi="宋体" w:eastAsia="宋体" w:cs="宋体"/>
                <w:snapToGrid/>
                <w:color w:val="auto"/>
                <w:kern w:val="0"/>
                <w:sz w:val="24"/>
                <w:szCs w:val="24"/>
                <w:highlight w:val="none"/>
              </w:rPr>
              <w:t>在用户无感知的情况下实现应用内或者功能的增量更新与问题修复。</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二、设备管控及成员管理</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1.本地播控将自动控制本网段内所有的学生端，可以对网段内所有学生端进行管理，如查看设备的是否在线、电量情况等，还能一键实现对所有被控设备的关机、重启等操作，方便教师快速检查设备和成员状态并进行统一管理，确保课堂教学的顺利进行。</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2.提供便捷的成员管理功能，方便老师更好地维持教学秩序。如一键全体静音、关闭移动，或针对某个学生单独开启或关闭语音发言、自由移动、调用素材库权限。</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三、内容播控</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1.支持教师端控制网段内所有学生端统一打开或关闭指定课件内容，便于教师统一讲解和引导。</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2.控制模式下，所有受控学生端不能随意进行内容和场景的切换，教师切换课件时，学生同步切换并进入该课件。</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3.全景视频内容支持播放暂停与进度调节，全景交互内容支持场景灵活切换与跳转。</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四、AI智能助手</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1.支持语音唤醒，通过语音说出唤醒词直接唤起3D数字人并开始对话。</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2.支持语音跟AI数字人进行连续多轮对话。</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3.支持随时打断，在AI数字人回答过程中，可以随时说出新的问题，中断其当前回答，针对新的问题进行回答。</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五、支持教师元宇宙内容创作</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（一）3D场景</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▲1.软件支持自定义创作元宇宙内容，老师可充分发挥创意，为教研、课题研究及金课打造提供助力，提供红色展厅、教室、会议室等不少于</w:t>
            </w:r>
            <w:r>
              <w:rPr>
                <w:rFonts w:hint="eastAsia" w:ascii="宋体" w:hAnsi="宋体" w:eastAsia="宋体" w:cs="宋体"/>
                <w:snapToGrid/>
                <w:color w:val="auto"/>
                <w:kern w:val="0"/>
                <w:sz w:val="24"/>
                <w:szCs w:val="24"/>
                <w:highlight w:val="none"/>
                <w:lang w:val="en-US" w:eastAsia="zh-CN"/>
              </w:rPr>
              <w:t>10</w:t>
            </w:r>
            <w:r>
              <w:rPr>
                <w:rFonts w:hint="eastAsia" w:ascii="宋体" w:hAnsi="宋体" w:eastAsia="宋体" w:cs="宋体"/>
                <w:snapToGrid/>
                <w:color w:val="auto"/>
                <w:kern w:val="0"/>
                <w:sz w:val="24"/>
                <w:szCs w:val="24"/>
                <w:highlight w:val="none"/>
              </w:rPr>
              <w:t>个预置场景。</w:t>
            </w:r>
            <w:r>
              <w:rPr>
                <w:rFonts w:hint="eastAsia" w:ascii="宋体" w:hAnsi="宋体" w:eastAsia="宋体" w:cs="宋体"/>
                <w:b/>
                <w:bCs/>
                <w:snapToGrid/>
                <w:color w:val="auto"/>
                <w:kern w:val="0"/>
                <w:sz w:val="24"/>
                <w:szCs w:val="24"/>
                <w:highlight w:val="none"/>
              </w:rPr>
              <w:t>（提供功能截图）</w:t>
            </w:r>
            <w:r>
              <w:rPr>
                <w:rFonts w:hint="eastAsia" w:ascii="宋体" w:hAnsi="宋体" w:eastAsia="宋体" w:cs="宋体"/>
                <w:b/>
                <w:bCs/>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▲2.支持平面类素材（PPT文档/图片/视频）</w:t>
            </w:r>
            <w:r>
              <w:rPr>
                <w:rFonts w:hint="eastAsia" w:ascii="宋体" w:hAnsi="宋体" w:eastAsia="宋体" w:cs="宋体"/>
                <w:snapToGrid/>
                <w:color w:val="auto"/>
                <w:kern w:val="0"/>
                <w:sz w:val="24"/>
                <w:szCs w:val="24"/>
                <w:highlight w:val="none"/>
                <w:lang w:val="en-US" w:eastAsia="zh-CN"/>
              </w:rPr>
              <w:t>导入</w:t>
            </w:r>
            <w:r>
              <w:rPr>
                <w:rFonts w:hint="eastAsia" w:ascii="宋体" w:hAnsi="宋体" w:eastAsia="宋体" w:cs="宋体"/>
                <w:snapToGrid/>
                <w:color w:val="auto"/>
                <w:kern w:val="0"/>
                <w:sz w:val="24"/>
                <w:szCs w:val="24"/>
                <w:highlight w:val="none"/>
              </w:rPr>
              <w:t>到3D场景</w:t>
            </w:r>
            <w:r>
              <w:rPr>
                <w:rFonts w:hint="eastAsia" w:ascii="宋体" w:hAnsi="宋体" w:eastAsia="宋体" w:cs="宋体"/>
                <w:snapToGrid/>
                <w:color w:val="auto"/>
                <w:kern w:val="0"/>
                <w:sz w:val="24"/>
                <w:szCs w:val="24"/>
                <w:highlight w:val="none"/>
                <w:lang w:val="en-US" w:eastAsia="zh-CN"/>
              </w:rPr>
              <w:t>中</w:t>
            </w:r>
            <w:r>
              <w:rPr>
                <w:rFonts w:hint="eastAsia" w:ascii="宋体" w:hAnsi="宋体" w:eastAsia="宋体" w:cs="宋体"/>
                <w:snapToGrid/>
                <w:color w:val="auto"/>
                <w:kern w:val="0"/>
                <w:sz w:val="24"/>
                <w:szCs w:val="24"/>
                <w:highlight w:val="none"/>
              </w:rPr>
              <w:t>，</w:t>
            </w:r>
            <w:r>
              <w:rPr>
                <w:rFonts w:hint="eastAsia" w:ascii="宋体" w:hAnsi="宋体" w:eastAsia="宋体" w:cs="宋体"/>
                <w:snapToGrid/>
                <w:color w:val="auto"/>
                <w:kern w:val="0"/>
                <w:sz w:val="24"/>
                <w:szCs w:val="24"/>
                <w:highlight w:val="none"/>
                <w:lang w:val="en-US" w:eastAsia="zh-CN"/>
              </w:rPr>
              <w:t>实现</w:t>
            </w:r>
            <w:r>
              <w:rPr>
                <w:rFonts w:hint="eastAsia" w:ascii="宋体" w:hAnsi="宋体" w:eastAsia="宋体" w:cs="宋体"/>
                <w:snapToGrid/>
                <w:color w:val="auto"/>
                <w:kern w:val="0"/>
                <w:sz w:val="24"/>
                <w:szCs w:val="24"/>
                <w:highlight w:val="none"/>
              </w:rPr>
              <w:t>布置展陈内容。</w:t>
            </w:r>
            <w:r>
              <w:rPr>
                <w:rFonts w:hint="eastAsia" w:ascii="宋体" w:hAnsi="宋体" w:eastAsia="宋体" w:cs="宋体"/>
                <w:b/>
                <w:bCs/>
                <w:snapToGrid/>
                <w:color w:val="auto"/>
                <w:kern w:val="0"/>
                <w:sz w:val="24"/>
                <w:szCs w:val="24"/>
                <w:highlight w:val="none"/>
              </w:rPr>
              <w:t>（提供功能截图）</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3.支持创作内容保存与共享：老师创作的内容支持保存</w:t>
            </w:r>
            <w:r>
              <w:rPr>
                <w:rFonts w:hint="eastAsia" w:ascii="宋体" w:hAnsi="宋体" w:eastAsia="宋体" w:cs="宋体"/>
                <w:snapToGrid/>
                <w:color w:val="auto"/>
                <w:kern w:val="0"/>
                <w:sz w:val="24"/>
                <w:szCs w:val="24"/>
                <w:highlight w:val="none"/>
                <w:lang w:val="en-US" w:eastAsia="zh-CN"/>
              </w:rPr>
              <w:t>并</w:t>
            </w:r>
            <w:r>
              <w:rPr>
                <w:rFonts w:hint="eastAsia" w:ascii="宋体" w:hAnsi="宋体" w:eastAsia="宋体" w:cs="宋体"/>
                <w:snapToGrid/>
                <w:color w:val="auto"/>
                <w:kern w:val="0"/>
                <w:sz w:val="24"/>
                <w:szCs w:val="24"/>
                <w:highlight w:val="none"/>
              </w:rPr>
              <w:t>向学生们教学和展示。</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（二）素材库</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1.拥有海量素材可供使用，素材包括三维模型、PPT文档、视频、图片、网页链接、数字人等多种类型，无需复杂编程，通过简单的点、拖、拉即可实现素材的创建与布局。</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2.支持自有素材上传，支持模型、PPT文档、图片/全景图片、视频/全景视频等多种类型。</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3.支持素材编辑：支持对单个素材（模型/PPT/普通图片/普通视频）进行缩放、旋转、移动、复制、删除等编辑操作，便于老师根据创作思路和教学节奏进行精准塑造和自由调整。</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4.支持在已拖出素材上添加互动热点，轻松实现不同素材间的智能链接，每个互动热点均对应专属点击按钮，快速打造出极具交互性的学习体验。</w:t>
            </w:r>
          </w:p>
          <w:p w14:paraId="13DDDD13">
            <w:pPr>
              <w:widowControl/>
              <w:spacing w:line="360" w:lineRule="auto"/>
              <w:jc w:val="left"/>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rPr>
              <w:t>支持AI生成素材</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1.AI生成3D模型</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●（1）支持文字生成：支持用户通过文字输入描述需要生成的对象，可以尝试指定风格和色彩</w:t>
            </w:r>
            <w:r>
              <w:rPr>
                <w:rFonts w:hint="eastAsia" w:ascii="宋体" w:hAnsi="宋体" w:eastAsia="宋体" w:cs="宋体"/>
                <w:b/>
                <w:bCs/>
                <w:snapToGrid/>
                <w:color w:val="auto"/>
                <w:kern w:val="0"/>
                <w:sz w:val="24"/>
                <w:szCs w:val="24"/>
                <w:highlight w:val="none"/>
              </w:rPr>
              <w:t>（需提供</w:t>
            </w:r>
            <w:r>
              <w:rPr>
                <w:rFonts w:hint="eastAsia" w:ascii="宋体" w:hAnsi="宋体" w:eastAsia="宋体" w:cs="宋体"/>
                <w:b/>
                <w:bCs/>
                <w:snapToGrid/>
                <w:color w:val="auto"/>
                <w:kern w:val="0"/>
                <w:sz w:val="24"/>
                <w:szCs w:val="24"/>
                <w:highlight w:val="none"/>
                <w:lang w:val="en-US" w:eastAsia="zh-CN"/>
              </w:rPr>
              <w:t>演示或提供第三方检测报告</w:t>
            </w:r>
            <w:r>
              <w:rPr>
                <w:rFonts w:hint="eastAsia" w:ascii="宋体" w:hAnsi="宋体" w:eastAsia="宋体" w:cs="宋体"/>
                <w:b/>
                <w:bCs/>
                <w:snapToGrid/>
                <w:color w:val="auto"/>
                <w:kern w:val="0"/>
                <w:sz w:val="24"/>
                <w:szCs w:val="24"/>
                <w:highlight w:val="none"/>
              </w:rPr>
              <w:t>）</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（2）支持图片生成：支持用户选择导入一张图片进行生成，图片支持从本地上传</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（3）支持对生成的模型素材设定放大/缩小/移动/旋转等编辑操作；</w:t>
            </w:r>
          </w:p>
          <w:p w14:paraId="0F60A4EA">
            <w:pPr>
              <w:widowControl/>
              <w:numPr>
                <w:ilvl w:val="0"/>
                <w:numId w:val="0"/>
              </w:numPr>
              <w:spacing w:line="360" w:lineRule="auto"/>
              <w:jc w:val="left"/>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eastAsia="zh-CN"/>
              </w:rPr>
              <w:t>（</w:t>
            </w:r>
            <w:r>
              <w:rPr>
                <w:rFonts w:hint="eastAsia" w:ascii="宋体" w:hAnsi="宋体" w:eastAsia="宋体" w:cs="宋体"/>
                <w:snapToGrid/>
                <w:color w:val="auto"/>
                <w:kern w:val="0"/>
                <w:sz w:val="24"/>
                <w:szCs w:val="24"/>
                <w:highlight w:val="none"/>
                <w:lang w:val="en-US" w:eastAsia="zh-CN"/>
              </w:rPr>
              <w:t>4</w:t>
            </w:r>
            <w:r>
              <w:rPr>
                <w:rFonts w:hint="eastAsia" w:ascii="宋体" w:hAnsi="宋体" w:eastAsia="宋体" w:cs="宋体"/>
                <w:snapToGrid/>
                <w:color w:val="auto"/>
                <w:kern w:val="0"/>
                <w:sz w:val="24"/>
                <w:szCs w:val="24"/>
                <w:highlight w:val="none"/>
                <w:lang w:eastAsia="zh-CN"/>
              </w:rPr>
              <w:t>）</w:t>
            </w:r>
            <w:r>
              <w:rPr>
                <w:rFonts w:hint="eastAsia" w:ascii="宋体" w:hAnsi="宋体" w:eastAsia="宋体" w:cs="宋体"/>
                <w:snapToGrid/>
                <w:color w:val="auto"/>
                <w:kern w:val="0"/>
                <w:sz w:val="24"/>
                <w:szCs w:val="24"/>
                <w:highlight w:val="none"/>
              </w:rPr>
              <w:t>支持对生成的素材添加互动热点</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w:t>
            </w:r>
            <w:r>
              <w:rPr>
                <w:rFonts w:hint="eastAsia" w:ascii="宋体" w:hAnsi="宋体" w:eastAsia="宋体" w:cs="宋体"/>
                <w:snapToGrid/>
                <w:color w:val="auto"/>
                <w:kern w:val="0"/>
                <w:sz w:val="24"/>
                <w:szCs w:val="24"/>
                <w:highlight w:val="none"/>
                <w:lang w:val="en-US" w:eastAsia="zh-CN"/>
              </w:rPr>
              <w:t>5</w:t>
            </w:r>
            <w:r>
              <w:rPr>
                <w:rFonts w:hint="eastAsia" w:ascii="宋体" w:hAnsi="宋体" w:eastAsia="宋体" w:cs="宋体"/>
                <w:snapToGrid/>
                <w:color w:val="auto"/>
                <w:kern w:val="0"/>
                <w:sz w:val="24"/>
                <w:szCs w:val="24"/>
                <w:highlight w:val="none"/>
              </w:rPr>
              <w:t>）生成的图片素材会自动保存到素材库中，作为素材</w:t>
            </w:r>
            <w:r>
              <w:rPr>
                <w:rFonts w:hint="eastAsia" w:ascii="宋体" w:hAnsi="宋体" w:eastAsia="宋体" w:cs="宋体"/>
                <w:snapToGrid/>
                <w:color w:val="auto"/>
                <w:kern w:val="0"/>
                <w:sz w:val="24"/>
                <w:szCs w:val="24"/>
                <w:highlight w:val="none"/>
                <w:lang w:val="en-US" w:eastAsia="zh-CN"/>
              </w:rPr>
              <w:t>用于</w:t>
            </w:r>
            <w:r>
              <w:rPr>
                <w:rFonts w:hint="eastAsia" w:ascii="宋体" w:hAnsi="宋体" w:eastAsia="宋体" w:cs="宋体"/>
                <w:snapToGrid/>
                <w:color w:val="auto"/>
                <w:kern w:val="0"/>
                <w:sz w:val="24"/>
                <w:szCs w:val="24"/>
                <w:highlight w:val="none"/>
              </w:rPr>
              <w:t>任意场景中。</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2.AI生成图片</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（1）支持基于输入的文本自动生成图片</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（2）支持一键重新生成图片</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（3）支持生成4:3、16:9</w:t>
            </w:r>
            <w:r>
              <w:rPr>
                <w:rFonts w:hint="eastAsia" w:ascii="宋体" w:hAnsi="宋体" w:eastAsia="宋体" w:cs="宋体"/>
                <w:snapToGrid/>
                <w:color w:val="auto"/>
                <w:kern w:val="0"/>
                <w:sz w:val="24"/>
                <w:szCs w:val="24"/>
                <w:highlight w:val="none"/>
                <w:lang w:val="en-US" w:eastAsia="zh-CN"/>
              </w:rPr>
              <w:t>等</w:t>
            </w:r>
            <w:r>
              <w:rPr>
                <w:rFonts w:hint="eastAsia" w:ascii="宋体" w:hAnsi="宋体" w:eastAsia="宋体" w:cs="宋体"/>
                <w:snapToGrid/>
                <w:color w:val="auto"/>
                <w:kern w:val="0"/>
                <w:sz w:val="24"/>
                <w:szCs w:val="24"/>
                <w:highlight w:val="none"/>
              </w:rPr>
              <w:t>尺寸的图片</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（4）支持基于生成的图片快速生成3D模型</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（5）生成的图片素材支持放大/缩小/旋转/移动等编辑操作</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（6）生成的图片素材会自动保存到素材库中</w:t>
            </w:r>
            <w:r>
              <w:rPr>
                <w:rFonts w:hint="eastAsia" w:ascii="宋体" w:hAnsi="宋体" w:eastAsia="宋体" w:cs="宋体"/>
                <w:snapToGrid/>
                <w:color w:val="auto"/>
                <w:kern w:val="0"/>
                <w:sz w:val="24"/>
                <w:szCs w:val="24"/>
                <w:highlight w:val="none"/>
                <w:lang w:eastAsia="zh-CN"/>
              </w:rPr>
              <w:t>。</w:t>
            </w:r>
          </w:p>
          <w:p w14:paraId="79CE80A6">
            <w:pPr>
              <w:widowControl/>
              <w:spacing w:line="360" w:lineRule="auto"/>
              <w:jc w:val="left"/>
              <w:rPr>
                <w:rFonts w:hint="eastAsia" w:ascii="宋体" w:hAnsi="宋体" w:eastAsia="宋体" w:cs="宋体"/>
                <w:b/>
                <w:bCs/>
                <w:snapToGrid/>
                <w:color w:val="auto"/>
                <w:kern w:val="0"/>
                <w:sz w:val="24"/>
                <w:szCs w:val="24"/>
                <w:highlight w:val="none"/>
              </w:rPr>
            </w:pPr>
            <w:r>
              <w:rPr>
                <w:rFonts w:hint="eastAsia" w:ascii="宋体" w:hAnsi="宋体" w:eastAsia="宋体" w:cs="宋体"/>
                <w:snapToGrid/>
                <w:color w:val="auto"/>
                <w:kern w:val="0"/>
                <w:sz w:val="24"/>
                <w:szCs w:val="24"/>
                <w:highlight w:val="none"/>
              </w:rPr>
              <w:t>3.AI生成视频</w:t>
            </w:r>
            <w:r>
              <w:rPr>
                <w:rFonts w:hint="eastAsia" w:ascii="宋体" w:hAnsi="宋体" w:eastAsia="宋体" w:cs="宋体"/>
                <w:snapToGrid/>
                <w:color w:val="auto"/>
                <w:kern w:val="0"/>
                <w:sz w:val="24"/>
                <w:szCs w:val="24"/>
                <w:highlight w:val="none"/>
                <w:lang w:eastAsia="zh-CN"/>
              </w:rPr>
              <w:t>（支持接入国产主流AI大模型API，支持本地轻量化AI素材处理与展示，</w:t>
            </w:r>
            <w:r>
              <w:rPr>
                <w:rFonts w:hint="eastAsia" w:ascii="宋体" w:hAnsi="宋体" w:eastAsia="宋体" w:cs="宋体"/>
                <w:snapToGrid/>
                <w:color w:val="auto"/>
                <w:kern w:val="0"/>
                <w:sz w:val="24"/>
                <w:szCs w:val="24"/>
                <w:highlight w:val="none"/>
                <w:lang w:val="en-US" w:eastAsia="zh-CN"/>
              </w:rPr>
              <w:t>但</w:t>
            </w:r>
            <w:r>
              <w:rPr>
                <w:rFonts w:hint="eastAsia" w:ascii="宋体" w:hAnsi="宋体" w:eastAsia="宋体" w:cs="宋体"/>
                <w:snapToGrid/>
                <w:color w:val="auto"/>
                <w:kern w:val="0"/>
                <w:sz w:val="24"/>
                <w:szCs w:val="24"/>
                <w:highlight w:val="none"/>
              </w:rPr>
              <w:t>本地软件</w:t>
            </w:r>
            <w:r>
              <w:rPr>
                <w:rFonts w:hint="eastAsia" w:ascii="宋体" w:hAnsi="宋体" w:eastAsia="宋体" w:cs="宋体"/>
                <w:snapToGrid/>
                <w:color w:val="auto"/>
                <w:kern w:val="0"/>
                <w:sz w:val="24"/>
                <w:szCs w:val="24"/>
                <w:highlight w:val="none"/>
                <w:lang w:val="en-US" w:eastAsia="zh-CN"/>
              </w:rPr>
              <w:t>须</w:t>
            </w:r>
            <w:r>
              <w:rPr>
                <w:rFonts w:hint="eastAsia" w:ascii="宋体" w:hAnsi="宋体" w:eastAsia="宋体" w:cs="宋体"/>
                <w:snapToGrid/>
                <w:color w:val="auto"/>
                <w:kern w:val="0"/>
                <w:sz w:val="24"/>
                <w:szCs w:val="24"/>
                <w:highlight w:val="none"/>
              </w:rPr>
              <w:t>集成AI生成插件，支持在软件内部直接调用API生成，无需切换至外部浏览器或独立软件</w:t>
            </w:r>
            <w:r>
              <w:rPr>
                <w:rFonts w:hint="eastAsia" w:ascii="宋体" w:hAnsi="宋体" w:eastAsia="宋体" w:cs="宋体"/>
                <w:snapToGrid/>
                <w:color w:val="auto"/>
                <w:kern w:val="0"/>
                <w:sz w:val="24"/>
                <w:szCs w:val="24"/>
                <w:highlight w:val="none"/>
                <w:lang w:eastAsia="zh-CN"/>
              </w:rPr>
              <w:t>）</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●（1）支持根据输入的文本自动生成视频</w:t>
            </w:r>
            <w:r>
              <w:rPr>
                <w:rFonts w:hint="eastAsia" w:ascii="宋体" w:hAnsi="宋体" w:eastAsia="宋体" w:cs="宋体"/>
                <w:b/>
                <w:bCs/>
                <w:snapToGrid/>
                <w:color w:val="auto"/>
                <w:kern w:val="0"/>
                <w:sz w:val="24"/>
                <w:szCs w:val="24"/>
                <w:highlight w:val="none"/>
              </w:rPr>
              <w:t>（需提供</w:t>
            </w:r>
            <w:r>
              <w:rPr>
                <w:rFonts w:hint="eastAsia" w:ascii="宋体" w:hAnsi="宋体" w:eastAsia="宋体" w:cs="宋体"/>
                <w:b/>
                <w:bCs/>
                <w:snapToGrid/>
                <w:color w:val="auto"/>
                <w:kern w:val="0"/>
                <w:sz w:val="24"/>
                <w:szCs w:val="24"/>
                <w:highlight w:val="none"/>
                <w:lang w:val="en-US" w:eastAsia="zh-CN"/>
              </w:rPr>
              <w:t>演示或提供第三方检测报告</w:t>
            </w:r>
            <w:r>
              <w:rPr>
                <w:rFonts w:hint="eastAsia" w:ascii="宋体" w:hAnsi="宋体" w:eastAsia="宋体" w:cs="宋体"/>
                <w:b/>
                <w:bCs/>
                <w:snapToGrid/>
                <w:color w:val="auto"/>
                <w:kern w:val="0"/>
                <w:sz w:val="24"/>
                <w:szCs w:val="24"/>
                <w:highlight w:val="none"/>
              </w:rPr>
              <w:t>）</w:t>
            </w:r>
          </w:p>
          <w:p w14:paraId="7A901032">
            <w:pPr>
              <w:widowControl/>
              <w:numPr>
                <w:ilvl w:val="0"/>
                <w:numId w:val="0"/>
              </w:numPr>
              <w:spacing w:line="360" w:lineRule="auto"/>
              <w:jc w:val="left"/>
              <w:rPr>
                <w:rFonts w:hint="eastAsia" w:ascii="宋体" w:hAnsi="宋体" w:eastAsia="宋体" w:cs="宋体"/>
                <w:snapToGrid/>
                <w:color w:val="auto"/>
                <w:kern w:val="0"/>
                <w:sz w:val="24"/>
                <w:szCs w:val="24"/>
                <w:highlight w:val="none"/>
              </w:rPr>
            </w:pPr>
            <w:r>
              <w:rPr>
                <w:rFonts w:hint="eastAsia" w:ascii="宋体" w:hAnsi="宋体" w:eastAsia="宋体" w:cs="宋体"/>
                <w:snapToGrid/>
                <w:color w:val="auto"/>
                <w:kern w:val="0"/>
                <w:sz w:val="24"/>
                <w:szCs w:val="24"/>
                <w:highlight w:val="none"/>
              </w:rPr>
              <w:t>（2）支持生成16:9、4:3</w:t>
            </w:r>
            <w:r>
              <w:rPr>
                <w:rFonts w:hint="eastAsia" w:ascii="宋体" w:hAnsi="宋体" w:eastAsia="宋体" w:cs="宋体"/>
                <w:snapToGrid/>
                <w:color w:val="auto"/>
                <w:kern w:val="0"/>
                <w:sz w:val="24"/>
                <w:szCs w:val="24"/>
                <w:highlight w:val="none"/>
                <w:lang w:val="en-US" w:eastAsia="zh-CN"/>
              </w:rPr>
              <w:t>等</w:t>
            </w:r>
            <w:r>
              <w:rPr>
                <w:rFonts w:hint="eastAsia" w:ascii="宋体" w:hAnsi="宋体" w:eastAsia="宋体" w:cs="宋体"/>
                <w:snapToGrid/>
                <w:color w:val="auto"/>
                <w:kern w:val="0"/>
                <w:sz w:val="24"/>
                <w:szCs w:val="24"/>
                <w:highlight w:val="none"/>
              </w:rPr>
              <w:t>尺寸规格的视频</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（3）支持生成480p、720p、1080p</w:t>
            </w:r>
            <w:r>
              <w:rPr>
                <w:rFonts w:hint="eastAsia" w:ascii="宋体" w:hAnsi="宋体" w:eastAsia="宋体" w:cs="宋体"/>
                <w:snapToGrid/>
                <w:color w:val="auto"/>
                <w:kern w:val="0"/>
                <w:sz w:val="24"/>
                <w:szCs w:val="24"/>
                <w:highlight w:val="none"/>
                <w:lang w:val="en-US" w:eastAsia="zh-CN"/>
              </w:rPr>
              <w:t>等</w:t>
            </w:r>
            <w:r>
              <w:rPr>
                <w:rFonts w:hint="eastAsia" w:ascii="宋体" w:hAnsi="宋体" w:eastAsia="宋体" w:cs="宋体"/>
                <w:snapToGrid/>
                <w:color w:val="auto"/>
                <w:kern w:val="0"/>
                <w:sz w:val="24"/>
                <w:szCs w:val="24"/>
                <w:highlight w:val="none"/>
              </w:rPr>
              <w:t>分辨率规格的视频</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（4）生成的视频素材支持放大/缩小/旋转/移动等编辑操作</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（5）生成的视频素材会自动保存到素材库中，随时可以作为素材拖出到任意场景中.</w:t>
            </w:r>
          </w:p>
          <w:p w14:paraId="2D1BEAA3">
            <w:pPr>
              <w:widowControl/>
              <w:numPr>
                <w:ilvl w:val="0"/>
                <w:numId w:val="0"/>
              </w:numPr>
              <w:spacing w:line="360" w:lineRule="auto"/>
              <w:jc w:val="left"/>
              <w:rPr>
                <w:rFonts w:hint="eastAsia" w:ascii="宋体" w:hAnsi="宋体" w:eastAsia="宋体" w:cs="宋体"/>
                <w:snapToGrid/>
                <w:color w:val="auto"/>
                <w:kern w:val="0"/>
                <w:sz w:val="24"/>
                <w:szCs w:val="24"/>
                <w:highlight w:val="none"/>
              </w:rPr>
            </w:pPr>
            <w:r>
              <w:rPr>
                <w:rFonts w:hint="eastAsia" w:ascii="宋体" w:hAnsi="宋体" w:eastAsia="宋体" w:cs="宋体"/>
                <w:snapToGrid/>
                <w:color w:val="auto"/>
                <w:kern w:val="0"/>
                <w:sz w:val="24"/>
                <w:szCs w:val="24"/>
                <w:highlight w:val="none"/>
              </w:rPr>
              <w:t>六、AI数字人</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1.▲支持用户自定义添加素材和自定义AI数字人，以辅助教学、讲解、播报、问答。内置不少于</w:t>
            </w:r>
            <w:r>
              <w:rPr>
                <w:rFonts w:hint="eastAsia" w:ascii="宋体" w:hAnsi="宋体" w:eastAsia="宋体" w:cs="宋体"/>
                <w:snapToGrid/>
                <w:color w:val="auto"/>
                <w:kern w:val="0"/>
                <w:sz w:val="24"/>
                <w:szCs w:val="24"/>
                <w:highlight w:val="none"/>
                <w:lang w:val="en-US" w:eastAsia="zh-CN"/>
              </w:rPr>
              <w:t>20</w:t>
            </w:r>
            <w:r>
              <w:rPr>
                <w:rFonts w:hint="eastAsia" w:ascii="宋体" w:hAnsi="宋体" w:eastAsia="宋体" w:cs="宋体"/>
                <w:snapToGrid/>
                <w:color w:val="auto"/>
                <w:kern w:val="0"/>
                <w:sz w:val="24"/>
                <w:szCs w:val="24"/>
                <w:highlight w:val="none"/>
              </w:rPr>
              <w:t>个人物角色形象任意选择；</w:t>
            </w:r>
            <w:r>
              <w:rPr>
                <w:rFonts w:hint="eastAsia" w:ascii="宋体" w:hAnsi="宋体" w:eastAsia="宋体" w:cs="宋体"/>
                <w:b/>
                <w:bCs/>
                <w:snapToGrid/>
                <w:color w:val="auto"/>
                <w:kern w:val="0"/>
                <w:sz w:val="24"/>
                <w:szCs w:val="24"/>
                <w:highlight w:val="none"/>
              </w:rPr>
              <w:t>（提供功能截图）</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2.数字人融合AI、TTS、语音播报等功能；支持用户自定义设定和编辑数字人，包括数字人形象切换、播报内容、编辑操作、添加互动等；</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3.自定义数字人播报：支持用户可以设定播报内容；支持用户根据需求自主设定播报列表的自动连播、播报循环方式、间隔时间、播报顺序等。</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4.AI智能问答：支持与AI数字人进行语音对话或文字对话，用户通过语音或文字的形式输入，数字人将同样以文字或语音的方式回应；</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5.数字人编辑：支持对数字人进行移动/旋转/放大缩小/复制等编辑操作；</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6.添加热点互动：支持用户为AI数字人添加额外的热点互动，实现多种素材之间的链接，便于用户创建更加有互动性的内容。</w:t>
            </w:r>
          </w:p>
          <w:p w14:paraId="5A797CD5">
            <w:pPr>
              <w:widowControl/>
              <w:numPr>
                <w:ilvl w:val="0"/>
                <w:numId w:val="2"/>
              </w:numPr>
              <w:spacing w:line="360" w:lineRule="auto"/>
              <w:jc w:val="left"/>
              <w:rPr>
                <w:rFonts w:hint="eastAsia" w:ascii="宋体" w:hAnsi="宋体" w:eastAsia="宋体" w:cs="宋体"/>
                <w:snapToGrid/>
                <w:color w:val="auto"/>
                <w:kern w:val="0"/>
                <w:sz w:val="24"/>
                <w:szCs w:val="24"/>
                <w:highlight w:val="none"/>
              </w:rPr>
            </w:pPr>
            <w:r>
              <w:rPr>
                <w:rFonts w:hint="eastAsia" w:ascii="宋体" w:hAnsi="宋体" w:eastAsia="宋体" w:cs="宋体"/>
                <w:snapToGrid/>
                <w:color w:val="auto"/>
                <w:kern w:val="0"/>
                <w:sz w:val="24"/>
                <w:szCs w:val="24"/>
                <w:highlight w:val="none"/>
              </w:rPr>
              <w:t>支持用户自定义创建/编辑智能体：</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1）支持唤醒词配置，提供多个唤醒词选项；用户可以通过设置好的唤醒词，在数字人处于待命状态时通过语音唤醒数字人进入对话状态，或是在数字人回答的时候，通过说唤醒词打断并提问。不同的智能体可以设置不同的唤醒词；</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（2）支持智能体名称、智能体介绍自定义。</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▲（3）支持主流国产大模型API接口标准（兼容OpenAI格式或国内主流大模型API格式）；支持知识库设定；</w:t>
            </w:r>
            <w:r>
              <w:rPr>
                <w:rFonts w:hint="eastAsia" w:ascii="宋体" w:hAnsi="宋体" w:eastAsia="宋体" w:cs="宋体"/>
                <w:b/>
                <w:bCs/>
                <w:snapToGrid/>
                <w:color w:val="auto"/>
                <w:kern w:val="0"/>
                <w:sz w:val="24"/>
                <w:szCs w:val="24"/>
                <w:highlight w:val="none"/>
              </w:rPr>
              <w:t>（提供界面截图）</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（4）支持联网搜索的开启或关闭</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w:t>
            </w:r>
            <w:r>
              <w:rPr>
                <w:rFonts w:hint="eastAsia" w:ascii="宋体" w:hAnsi="宋体" w:eastAsia="宋体" w:cs="宋体"/>
                <w:snapToGrid/>
                <w:color w:val="auto"/>
                <w:kern w:val="0"/>
                <w:sz w:val="24"/>
                <w:szCs w:val="24"/>
                <w:highlight w:val="none"/>
                <w:lang w:val="en-US" w:eastAsia="zh-CN"/>
              </w:rPr>
              <w:t>5</w:t>
            </w:r>
            <w:r>
              <w:rPr>
                <w:rFonts w:hint="eastAsia" w:ascii="宋体" w:hAnsi="宋体" w:eastAsia="宋体" w:cs="宋体"/>
                <w:snapToGrid/>
                <w:color w:val="auto"/>
                <w:kern w:val="0"/>
                <w:sz w:val="24"/>
                <w:szCs w:val="24"/>
                <w:highlight w:val="none"/>
              </w:rPr>
              <w:t>）支持自定义智能体提示词：用户可依据自身需求，自主为智能体增添更多角色补充设定。用户可以从职业/专业领域、性格、回答方式等多个角度描述。</w:t>
            </w:r>
          </w:p>
          <w:p w14:paraId="6942F881">
            <w:pPr>
              <w:widowControl/>
              <w:numPr>
                <w:ilvl w:val="0"/>
                <w:numId w:val="0"/>
              </w:numPr>
              <w:spacing w:line="360" w:lineRule="auto"/>
              <w:jc w:val="left"/>
              <w:rPr>
                <w:rFonts w:hint="eastAsia" w:ascii="宋体" w:hAnsi="宋体" w:eastAsia="宋体" w:cs="宋体"/>
                <w:snapToGrid/>
                <w:color w:val="auto"/>
                <w:kern w:val="0"/>
                <w:sz w:val="24"/>
                <w:szCs w:val="24"/>
                <w:highlight w:val="none"/>
              </w:rPr>
            </w:pPr>
            <w:r>
              <w:rPr>
                <w:rFonts w:hint="eastAsia" w:ascii="宋体" w:hAnsi="宋体" w:eastAsia="宋体" w:cs="宋体"/>
                <w:snapToGrid/>
                <w:color w:val="auto"/>
                <w:kern w:val="0"/>
                <w:sz w:val="24"/>
                <w:szCs w:val="24"/>
                <w:highlight w:val="none"/>
                <w:lang w:eastAsia="zh-CN"/>
              </w:rPr>
              <w:t>（</w:t>
            </w:r>
            <w:r>
              <w:rPr>
                <w:rFonts w:hint="eastAsia" w:ascii="宋体" w:hAnsi="宋体" w:eastAsia="宋体" w:cs="宋体"/>
                <w:snapToGrid/>
                <w:color w:val="auto"/>
                <w:kern w:val="0"/>
                <w:sz w:val="24"/>
                <w:szCs w:val="24"/>
                <w:highlight w:val="none"/>
                <w:lang w:val="en-US" w:eastAsia="zh-CN"/>
              </w:rPr>
              <w:t>6</w:t>
            </w:r>
            <w:r>
              <w:rPr>
                <w:rFonts w:hint="eastAsia" w:ascii="宋体" w:hAnsi="宋体" w:eastAsia="宋体" w:cs="宋体"/>
                <w:snapToGrid/>
                <w:color w:val="auto"/>
                <w:kern w:val="0"/>
                <w:sz w:val="24"/>
                <w:szCs w:val="24"/>
                <w:highlight w:val="none"/>
                <w:lang w:eastAsia="zh-CN"/>
              </w:rPr>
              <w:t>）</w:t>
            </w:r>
            <w:r>
              <w:rPr>
                <w:rFonts w:hint="eastAsia" w:ascii="宋体" w:hAnsi="宋体" w:eastAsia="宋体" w:cs="宋体"/>
                <w:snapToGrid/>
                <w:color w:val="auto"/>
                <w:kern w:val="0"/>
                <w:sz w:val="24"/>
                <w:szCs w:val="24"/>
                <w:highlight w:val="none"/>
              </w:rPr>
              <w:t>知识库文档功能：支持上传特定文档作为知识库，格式支持：TXT、DF、XLSX、DOCX、CSV等。</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8.预设智能体不少于</w:t>
            </w:r>
            <w:r>
              <w:rPr>
                <w:rFonts w:hint="eastAsia" w:ascii="宋体" w:hAnsi="宋体" w:eastAsia="宋体" w:cs="宋体"/>
                <w:snapToGrid/>
                <w:color w:val="auto"/>
                <w:kern w:val="0"/>
                <w:sz w:val="24"/>
                <w:szCs w:val="24"/>
                <w:highlight w:val="none"/>
                <w:lang w:val="en-US" w:eastAsia="zh-CN"/>
              </w:rPr>
              <w:t>8</w:t>
            </w:r>
            <w:r>
              <w:rPr>
                <w:rFonts w:hint="eastAsia" w:ascii="宋体" w:hAnsi="宋体" w:eastAsia="宋体" w:cs="宋体"/>
                <w:snapToGrid/>
                <w:color w:val="auto"/>
                <w:kern w:val="0"/>
                <w:sz w:val="24"/>
                <w:szCs w:val="24"/>
                <w:highlight w:val="none"/>
              </w:rPr>
              <w:t>种，支持用户根据需要随时选用智能体。</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（1）课堂授课辅助：提供课堂教学的实时辅助支持；</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（2）教学资源资源检索和推荐服务；</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▲（3）</w:t>
            </w:r>
            <w:r>
              <w:rPr>
                <w:rFonts w:hint="eastAsia" w:ascii="宋体" w:hAnsi="宋体" w:eastAsia="宋体" w:cs="宋体"/>
                <w:snapToGrid/>
                <w:color w:val="auto"/>
                <w:kern w:val="0"/>
                <w:sz w:val="24"/>
                <w:szCs w:val="24"/>
                <w:highlight w:val="none"/>
                <w:lang w:val="en-US" w:eastAsia="zh-CN"/>
              </w:rPr>
              <w:t>题库</w:t>
            </w:r>
            <w:r>
              <w:rPr>
                <w:rFonts w:hint="eastAsia" w:ascii="宋体" w:hAnsi="宋体" w:eastAsia="宋体" w:cs="宋体"/>
                <w:snapToGrid/>
                <w:color w:val="auto"/>
                <w:kern w:val="0"/>
                <w:sz w:val="24"/>
                <w:szCs w:val="24"/>
                <w:highlight w:val="none"/>
              </w:rPr>
              <w:t>建设：提供各种类型的题目生成</w:t>
            </w:r>
            <w:r>
              <w:rPr>
                <w:rFonts w:hint="eastAsia" w:ascii="宋体" w:hAnsi="宋体" w:eastAsia="宋体" w:cs="宋体"/>
                <w:snapToGrid/>
                <w:color w:val="auto"/>
                <w:kern w:val="0"/>
                <w:sz w:val="24"/>
                <w:szCs w:val="24"/>
                <w:highlight w:val="none"/>
                <w:lang w:val="en-US" w:eastAsia="zh-CN"/>
              </w:rPr>
              <w:t>和</w:t>
            </w:r>
            <w:r>
              <w:rPr>
                <w:rFonts w:hint="eastAsia" w:ascii="宋体" w:hAnsi="宋体" w:eastAsia="宋体" w:cs="宋体"/>
                <w:snapToGrid/>
                <w:color w:val="auto"/>
                <w:kern w:val="0"/>
                <w:sz w:val="24"/>
                <w:szCs w:val="24"/>
                <w:highlight w:val="none"/>
              </w:rPr>
              <w:t>预解析；</w:t>
            </w:r>
            <w:r>
              <w:rPr>
                <w:rFonts w:hint="eastAsia" w:ascii="宋体" w:hAnsi="宋体" w:eastAsia="宋体" w:cs="宋体"/>
                <w:b/>
                <w:bCs/>
                <w:snapToGrid/>
                <w:color w:val="auto"/>
                <w:kern w:val="0"/>
                <w:sz w:val="24"/>
                <w:szCs w:val="24"/>
                <w:highlight w:val="none"/>
              </w:rPr>
              <w:t>（提供功能截图）</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（4）</w:t>
            </w:r>
            <w:r>
              <w:rPr>
                <w:rFonts w:hint="eastAsia" w:ascii="宋体" w:hAnsi="宋体" w:eastAsia="宋体" w:cs="宋体"/>
                <w:snapToGrid/>
                <w:color w:val="auto"/>
                <w:kern w:val="0"/>
                <w:sz w:val="24"/>
                <w:szCs w:val="24"/>
                <w:highlight w:val="none"/>
                <w:lang w:val="en-US" w:eastAsia="zh-CN"/>
              </w:rPr>
              <w:t>撰写</w:t>
            </w:r>
            <w:r>
              <w:rPr>
                <w:rFonts w:hint="eastAsia" w:ascii="宋体" w:hAnsi="宋体" w:eastAsia="宋体" w:cs="宋体"/>
                <w:snapToGrid/>
                <w:color w:val="auto"/>
                <w:kern w:val="0"/>
                <w:sz w:val="24"/>
                <w:szCs w:val="24"/>
                <w:highlight w:val="none"/>
              </w:rPr>
              <w:t>教案</w:t>
            </w:r>
            <w:r>
              <w:rPr>
                <w:rFonts w:hint="eastAsia" w:ascii="宋体" w:hAnsi="宋体" w:eastAsia="宋体" w:cs="宋体"/>
                <w:snapToGrid/>
                <w:color w:val="auto"/>
                <w:kern w:val="0"/>
                <w:sz w:val="24"/>
                <w:szCs w:val="24"/>
                <w:highlight w:val="none"/>
                <w:lang w:eastAsia="zh-CN"/>
              </w:rPr>
              <w:t>、</w:t>
            </w:r>
            <w:r>
              <w:rPr>
                <w:rFonts w:hint="eastAsia" w:ascii="宋体" w:hAnsi="宋体" w:eastAsia="宋体" w:cs="宋体"/>
                <w:snapToGrid/>
                <w:color w:val="auto"/>
                <w:kern w:val="0"/>
                <w:sz w:val="24"/>
                <w:szCs w:val="24"/>
                <w:highlight w:val="none"/>
              </w:rPr>
              <w:t>教学计划</w:t>
            </w:r>
            <w:r>
              <w:rPr>
                <w:rFonts w:hint="eastAsia" w:ascii="宋体" w:hAnsi="宋体" w:eastAsia="宋体" w:cs="宋体"/>
                <w:snapToGrid/>
                <w:color w:val="auto"/>
                <w:kern w:val="0"/>
                <w:sz w:val="24"/>
                <w:szCs w:val="24"/>
                <w:highlight w:val="none"/>
                <w:lang w:eastAsia="zh-CN"/>
              </w:rPr>
              <w:t>，</w:t>
            </w:r>
            <w:r>
              <w:rPr>
                <w:rFonts w:hint="eastAsia" w:ascii="宋体" w:hAnsi="宋体" w:eastAsia="宋体" w:cs="宋体"/>
                <w:snapToGrid/>
                <w:color w:val="auto"/>
                <w:kern w:val="0"/>
                <w:sz w:val="24"/>
                <w:szCs w:val="24"/>
                <w:highlight w:val="none"/>
                <w:lang w:val="en-US" w:eastAsia="zh-CN"/>
              </w:rPr>
              <w:t>发布</w:t>
            </w:r>
            <w:r>
              <w:rPr>
                <w:rFonts w:hint="eastAsia" w:ascii="宋体" w:hAnsi="宋体" w:eastAsia="宋体" w:cs="宋体"/>
                <w:snapToGrid/>
                <w:color w:val="auto"/>
                <w:kern w:val="0"/>
                <w:sz w:val="24"/>
                <w:szCs w:val="24"/>
                <w:highlight w:val="none"/>
              </w:rPr>
              <w:t>通知</w:t>
            </w:r>
            <w:r>
              <w:rPr>
                <w:rFonts w:hint="eastAsia" w:ascii="宋体" w:hAnsi="宋体" w:eastAsia="宋体" w:cs="宋体"/>
                <w:snapToGrid/>
                <w:color w:val="auto"/>
                <w:kern w:val="0"/>
                <w:sz w:val="24"/>
                <w:szCs w:val="24"/>
                <w:highlight w:val="none"/>
                <w:lang w:eastAsia="zh-CN"/>
              </w:rPr>
              <w:t>。</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w:t>
            </w:r>
            <w:r>
              <w:rPr>
                <w:rFonts w:hint="eastAsia" w:ascii="宋体" w:hAnsi="宋体" w:eastAsia="宋体" w:cs="宋体"/>
                <w:snapToGrid/>
                <w:color w:val="auto"/>
                <w:kern w:val="0"/>
                <w:sz w:val="24"/>
                <w:szCs w:val="24"/>
                <w:highlight w:val="none"/>
                <w:lang w:val="en-US" w:eastAsia="zh-CN"/>
              </w:rPr>
              <w:t>5</w:t>
            </w:r>
            <w:r>
              <w:rPr>
                <w:rFonts w:hint="eastAsia" w:ascii="宋体" w:hAnsi="宋体" w:eastAsia="宋体" w:cs="宋体"/>
                <w:snapToGrid/>
                <w:color w:val="auto"/>
                <w:kern w:val="0"/>
                <w:sz w:val="24"/>
                <w:szCs w:val="24"/>
                <w:highlight w:val="none"/>
              </w:rPr>
              <w:t>）做知识图谱：提供知识图谱建设和整理服务；</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w:t>
            </w:r>
            <w:r>
              <w:rPr>
                <w:rFonts w:hint="eastAsia" w:ascii="宋体" w:hAnsi="宋体" w:eastAsia="宋体" w:cs="宋体"/>
                <w:snapToGrid/>
                <w:color w:val="auto"/>
                <w:kern w:val="0"/>
                <w:sz w:val="24"/>
                <w:szCs w:val="24"/>
                <w:highlight w:val="none"/>
                <w:lang w:val="en-US" w:eastAsia="zh-CN"/>
              </w:rPr>
              <w:t>6</w:t>
            </w:r>
            <w:r>
              <w:rPr>
                <w:rFonts w:hint="eastAsia" w:ascii="宋体" w:hAnsi="宋体" w:eastAsia="宋体" w:cs="宋体"/>
                <w:snapToGrid/>
                <w:color w:val="auto"/>
                <w:kern w:val="0"/>
                <w:sz w:val="24"/>
                <w:szCs w:val="24"/>
                <w:highlight w:val="none"/>
              </w:rPr>
              <w:t>）</w:t>
            </w:r>
            <w:r>
              <w:rPr>
                <w:rFonts w:hint="eastAsia" w:ascii="宋体" w:hAnsi="宋体" w:eastAsia="宋体" w:cs="宋体"/>
                <w:snapToGrid/>
                <w:color w:val="auto"/>
                <w:kern w:val="0"/>
                <w:sz w:val="24"/>
                <w:szCs w:val="24"/>
                <w:highlight w:val="none"/>
                <w:lang w:val="en-US" w:eastAsia="zh-CN"/>
              </w:rPr>
              <w:t>答疑</w:t>
            </w:r>
            <w:r>
              <w:rPr>
                <w:rFonts w:hint="eastAsia" w:ascii="宋体" w:hAnsi="宋体" w:eastAsia="宋体" w:cs="宋体"/>
                <w:snapToGrid/>
                <w:color w:val="auto"/>
                <w:kern w:val="0"/>
                <w:sz w:val="24"/>
                <w:szCs w:val="24"/>
                <w:highlight w:val="none"/>
              </w:rPr>
              <w:t>：提供全天候学习支持，包括答疑和个性化学习路径规划</w:t>
            </w:r>
            <w:r>
              <w:rPr>
                <w:rFonts w:hint="eastAsia" w:ascii="宋体" w:hAnsi="宋体" w:eastAsia="宋体" w:cs="宋体"/>
                <w:snapToGrid/>
                <w:color w:val="auto"/>
                <w:kern w:val="0"/>
                <w:sz w:val="24"/>
                <w:szCs w:val="24"/>
                <w:highlight w:val="none"/>
                <w:lang w:eastAsia="zh-CN"/>
              </w:rPr>
              <w:t>。</w:t>
            </w:r>
          </w:p>
          <w:p w14:paraId="30C2D46B">
            <w:pPr>
              <w:widowControl/>
              <w:numPr>
                <w:ilvl w:val="0"/>
                <w:numId w:val="0"/>
              </w:numPr>
              <w:spacing w:line="360" w:lineRule="auto"/>
              <w:jc w:val="left"/>
              <w:rPr>
                <w:rFonts w:hint="eastAsia" w:ascii="宋体" w:hAnsi="宋体" w:eastAsia="宋体" w:cs="宋体"/>
                <w:snapToGrid/>
                <w:color w:val="auto"/>
                <w:kern w:val="0"/>
                <w:sz w:val="24"/>
                <w:szCs w:val="24"/>
                <w:highlight w:val="none"/>
              </w:rPr>
            </w:pPr>
            <w:r>
              <w:rPr>
                <w:rFonts w:hint="eastAsia" w:ascii="宋体" w:hAnsi="宋体" w:eastAsia="宋体" w:cs="宋体"/>
                <w:snapToGrid/>
                <w:color w:val="auto"/>
                <w:kern w:val="0"/>
                <w:sz w:val="24"/>
                <w:szCs w:val="24"/>
                <w:highlight w:val="none"/>
              </w:rPr>
              <w:t>七、个性化设置</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支持对辅助显示与使用习惯进行个性化设置。</w:t>
            </w:r>
          </w:p>
        </w:tc>
      </w:tr>
      <w:tr w14:paraId="6EEDA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46" w:type="dxa"/>
            <w:vAlign w:val="center"/>
          </w:tcPr>
          <w:p w14:paraId="5FC278F2">
            <w:pPr>
              <w:widowControl/>
              <w:spacing w:line="360" w:lineRule="auto"/>
              <w:jc w:val="center"/>
              <w:rPr>
                <w:rFonts w:hint="eastAsia" w:ascii="宋体" w:hAnsi="宋体" w:eastAsia="宋体" w:cs="宋体"/>
                <w:snapToGrid/>
                <w:color w:val="auto"/>
                <w:kern w:val="0"/>
                <w:sz w:val="24"/>
                <w:szCs w:val="24"/>
                <w:highlight w:val="none"/>
              </w:rPr>
            </w:pPr>
            <w:r>
              <w:rPr>
                <w:rFonts w:hint="eastAsia" w:ascii="宋体" w:hAnsi="宋体" w:eastAsia="宋体" w:cs="宋体"/>
                <w:snapToGrid/>
                <w:color w:val="auto"/>
                <w:kern w:val="0"/>
                <w:sz w:val="24"/>
                <w:szCs w:val="24"/>
                <w:highlight w:val="none"/>
              </w:rPr>
              <w:t>4</w:t>
            </w:r>
          </w:p>
        </w:tc>
        <w:tc>
          <w:tcPr>
            <w:tcW w:w="763" w:type="dxa"/>
            <w:vAlign w:val="center"/>
          </w:tcPr>
          <w:p w14:paraId="260C5D6C">
            <w:pPr>
              <w:widowControl/>
              <w:spacing w:line="360" w:lineRule="auto"/>
              <w:jc w:val="center"/>
              <w:rPr>
                <w:rFonts w:hint="eastAsia" w:ascii="宋体" w:hAnsi="宋体" w:eastAsia="宋体" w:cs="宋体"/>
                <w:snapToGrid/>
                <w:color w:val="auto"/>
                <w:kern w:val="0"/>
                <w:sz w:val="24"/>
                <w:szCs w:val="24"/>
                <w:highlight w:val="none"/>
              </w:rPr>
            </w:pPr>
            <w:r>
              <w:rPr>
                <w:rFonts w:hint="eastAsia" w:ascii="宋体" w:hAnsi="宋体" w:eastAsia="宋体" w:cs="宋体"/>
                <w:snapToGrid/>
                <w:color w:val="auto"/>
                <w:kern w:val="0"/>
                <w:sz w:val="24"/>
                <w:szCs w:val="24"/>
                <w:highlight w:val="none"/>
              </w:rPr>
              <w:t>交互体验设备</w:t>
            </w:r>
          </w:p>
        </w:tc>
        <w:tc>
          <w:tcPr>
            <w:tcW w:w="7790" w:type="dxa"/>
            <w:vAlign w:val="center"/>
          </w:tcPr>
          <w:p w14:paraId="798983B9">
            <w:pPr>
              <w:widowControl/>
              <w:numPr>
                <w:ilvl w:val="0"/>
                <w:numId w:val="3"/>
              </w:numPr>
              <w:spacing w:line="360" w:lineRule="auto"/>
              <w:jc w:val="left"/>
              <w:rPr>
                <w:rFonts w:hint="eastAsia" w:ascii="宋体" w:hAnsi="宋体" w:eastAsia="宋体" w:cs="宋体"/>
                <w:snapToGrid/>
                <w:color w:val="auto"/>
                <w:kern w:val="0"/>
                <w:sz w:val="24"/>
                <w:szCs w:val="24"/>
                <w:highlight w:val="none"/>
              </w:rPr>
            </w:pPr>
            <w:r>
              <w:rPr>
                <w:rFonts w:hint="eastAsia" w:ascii="宋体" w:hAnsi="宋体" w:eastAsia="宋体" w:cs="宋体"/>
                <w:snapToGrid/>
                <w:color w:val="auto"/>
                <w:kern w:val="0"/>
                <w:sz w:val="24"/>
                <w:szCs w:val="24"/>
                <w:highlight w:val="none"/>
              </w:rPr>
              <w:t>软件</w:t>
            </w:r>
            <w:r>
              <w:rPr>
                <w:rFonts w:hint="eastAsia" w:ascii="宋体" w:hAnsi="宋体" w:eastAsia="宋体" w:cs="宋体"/>
                <w:snapToGrid/>
                <w:color w:val="auto"/>
                <w:kern w:val="0"/>
                <w:sz w:val="24"/>
                <w:szCs w:val="24"/>
                <w:highlight w:val="none"/>
                <w:lang w:val="en-US" w:eastAsia="zh-CN"/>
              </w:rPr>
              <w:t>具</w:t>
            </w:r>
            <w:r>
              <w:rPr>
                <w:rFonts w:hint="eastAsia" w:ascii="宋体" w:hAnsi="宋体" w:eastAsia="宋体" w:cs="宋体"/>
                <w:snapToGrid/>
                <w:color w:val="auto"/>
                <w:kern w:val="0"/>
                <w:sz w:val="24"/>
                <w:szCs w:val="24"/>
                <w:highlight w:val="none"/>
              </w:rPr>
              <w:t>有在用户无感知的情况下实现应用内或者功能的增量更新与问题修复。</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2.支持受控学习和自由学习</w:t>
            </w:r>
            <w:r>
              <w:rPr>
                <w:rFonts w:hint="eastAsia" w:ascii="宋体" w:hAnsi="宋体" w:eastAsia="宋体" w:cs="宋体"/>
                <w:snapToGrid/>
                <w:color w:val="auto"/>
                <w:kern w:val="0"/>
                <w:sz w:val="24"/>
                <w:szCs w:val="24"/>
                <w:highlight w:val="none"/>
                <w:lang w:val="en-US" w:eastAsia="zh-CN"/>
              </w:rPr>
              <w:t>切换</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（1）受控状态下，同一网络内的所有学生端将受到教师端的控制，学生不能随意进行操作。</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（2）自由状态下，不会受到教师端的控制和管理，可以独立自主运行，学生自行进行操作和学习。</w:t>
            </w:r>
          </w:p>
          <w:p w14:paraId="75525D5A">
            <w:pPr>
              <w:widowControl/>
              <w:numPr>
                <w:ilvl w:val="0"/>
                <w:numId w:val="0"/>
              </w:numPr>
              <w:spacing w:line="360" w:lineRule="auto"/>
              <w:jc w:val="left"/>
              <w:rPr>
                <w:rFonts w:hint="eastAsia" w:ascii="宋体" w:hAnsi="宋体" w:eastAsia="宋体" w:cs="宋体"/>
                <w:snapToGrid/>
                <w:color w:val="auto"/>
                <w:kern w:val="0"/>
                <w:sz w:val="24"/>
                <w:szCs w:val="24"/>
                <w:highlight w:val="none"/>
              </w:rPr>
            </w:pPr>
            <w:r>
              <w:rPr>
                <w:rFonts w:hint="eastAsia" w:ascii="宋体" w:hAnsi="宋体" w:eastAsia="宋体" w:cs="宋体"/>
                <w:snapToGrid/>
                <w:color w:val="auto"/>
                <w:kern w:val="0"/>
                <w:sz w:val="24"/>
                <w:szCs w:val="24"/>
                <w:highlight w:val="none"/>
              </w:rPr>
              <w:t>3.AI语音助手</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（1）支持语音唤醒，通过语音说出唤醒词直接唤起3D数字人并开始对话。</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（2）支持语音跟AI数字人进行连续多轮对话</w:t>
            </w:r>
            <w:r>
              <w:rPr>
                <w:rFonts w:hint="eastAsia" w:ascii="宋体" w:hAnsi="宋体" w:eastAsia="宋体" w:cs="宋体"/>
                <w:snapToGrid/>
                <w:color w:val="auto"/>
                <w:kern w:val="0"/>
                <w:sz w:val="24"/>
                <w:szCs w:val="24"/>
                <w:highlight w:val="none"/>
                <w:lang w:val="en-US" w:eastAsia="zh-CN"/>
              </w:rPr>
              <w:t>和</w:t>
            </w:r>
            <w:r>
              <w:rPr>
                <w:rFonts w:hint="eastAsia" w:ascii="宋体" w:hAnsi="宋体" w:eastAsia="宋体" w:cs="宋体"/>
                <w:snapToGrid/>
                <w:color w:val="auto"/>
                <w:kern w:val="0"/>
                <w:sz w:val="24"/>
                <w:szCs w:val="24"/>
                <w:highlight w:val="none"/>
              </w:rPr>
              <w:t>随时打断回答新问题。</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4.元宇宙多人空间</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▲（1）支持元宇宙多人空间，实现多数字人同空间互动学习，以数字人形象参与交流。</w:t>
            </w:r>
            <w:r>
              <w:rPr>
                <w:rFonts w:hint="eastAsia" w:ascii="宋体" w:hAnsi="宋体" w:eastAsia="宋体" w:cs="宋体"/>
                <w:snapToGrid/>
                <w:color w:val="auto"/>
                <w:kern w:val="0"/>
                <w:sz w:val="24"/>
                <w:szCs w:val="24"/>
                <w:highlight w:val="none"/>
                <w:lang w:eastAsia="zh-CN"/>
              </w:rPr>
              <w:t>（</w:t>
            </w:r>
            <w:r>
              <w:rPr>
                <w:rFonts w:hint="eastAsia" w:ascii="宋体" w:hAnsi="宋体" w:eastAsia="宋体" w:cs="宋体"/>
                <w:b/>
                <w:bCs/>
                <w:snapToGrid/>
                <w:color w:val="auto"/>
                <w:kern w:val="0"/>
                <w:sz w:val="24"/>
                <w:szCs w:val="24"/>
                <w:highlight w:val="none"/>
              </w:rPr>
              <w:t>提供功能截图</w:t>
            </w:r>
            <w:r>
              <w:rPr>
                <w:rFonts w:hint="eastAsia" w:ascii="宋体" w:hAnsi="宋体" w:eastAsia="宋体" w:cs="宋体"/>
                <w:snapToGrid/>
                <w:color w:val="auto"/>
                <w:kern w:val="0"/>
                <w:sz w:val="24"/>
                <w:szCs w:val="24"/>
                <w:highlight w:val="none"/>
                <w:lang w:eastAsia="zh-CN"/>
              </w:rPr>
              <w:t>）</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（2）支持展示所有有效空间，并直观显示空间的关键信息，比如空间名称、创建者、开始时间、成员数量、场景缩略图等一目了然，方便用户快速筛找目标空间。</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（3）支持学生端创建多人空间，可以设置空间名称、空间密码、是否公开、场景选择、开始时间、预计时长等，满足小组讨论、单人学习或创作等需求。</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（4）支持空间内即时显示成员加入/离开空间时的消息提醒。</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（5）支持空间分享，比如通过复制空间号或者分享链接的方式邀请他人加入。</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（6）支持通过空间名称或空间号进行精准搜索，迅速定位特定空间。</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（7）每个用户都有一个虚拟数字人形象，参与到虚拟仿真课件场景中。</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5. 多人互动功能：</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（1）角色控制：支持通过虚拟摇杆控制自己的数字人角色在场景中移动</w:t>
            </w:r>
            <w:r>
              <w:rPr>
                <w:rFonts w:hint="eastAsia" w:ascii="宋体" w:hAnsi="宋体" w:eastAsia="宋体" w:cs="宋体"/>
                <w:snapToGrid/>
                <w:color w:val="auto"/>
                <w:kern w:val="0"/>
                <w:sz w:val="24"/>
                <w:szCs w:val="24"/>
                <w:highlight w:val="none"/>
                <w:lang w:eastAsia="zh-CN"/>
              </w:rPr>
              <w:t>，</w:t>
            </w:r>
            <w:r>
              <w:rPr>
                <w:rFonts w:hint="eastAsia" w:ascii="宋体" w:hAnsi="宋体" w:eastAsia="宋体" w:cs="宋体"/>
                <w:snapToGrid/>
                <w:color w:val="auto"/>
                <w:kern w:val="0"/>
                <w:sz w:val="24"/>
                <w:szCs w:val="24"/>
                <w:highlight w:val="none"/>
                <w:lang w:val="en-US" w:eastAsia="zh-CN"/>
              </w:rPr>
              <w:t>如</w:t>
            </w:r>
            <w:r>
              <w:rPr>
                <w:rFonts w:hint="eastAsia" w:ascii="宋体" w:hAnsi="宋体" w:eastAsia="宋体" w:cs="宋体"/>
                <w:snapToGrid/>
                <w:color w:val="auto"/>
                <w:kern w:val="0"/>
                <w:sz w:val="24"/>
                <w:szCs w:val="24"/>
                <w:highlight w:val="none"/>
              </w:rPr>
              <w:t>“行走”、“跑步”、“跳跃”。</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（2）表情互动：支持招手、微笑、鼓掌、点赞等表情互动，增强交流氛围。</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w:t>
            </w:r>
            <w:r>
              <w:rPr>
                <w:rFonts w:hint="eastAsia" w:ascii="宋体" w:hAnsi="宋体" w:eastAsia="宋体" w:cs="宋体"/>
                <w:snapToGrid/>
                <w:color w:val="auto"/>
                <w:kern w:val="0"/>
                <w:sz w:val="24"/>
                <w:szCs w:val="24"/>
                <w:highlight w:val="none"/>
                <w:lang w:val="en-US" w:eastAsia="zh-CN"/>
              </w:rPr>
              <w:t>3</w:t>
            </w:r>
            <w:r>
              <w:rPr>
                <w:rFonts w:hint="eastAsia" w:ascii="宋体" w:hAnsi="宋体" w:eastAsia="宋体" w:cs="宋体"/>
                <w:snapToGrid/>
                <w:color w:val="auto"/>
                <w:kern w:val="0"/>
                <w:sz w:val="24"/>
                <w:szCs w:val="24"/>
                <w:highlight w:val="none"/>
              </w:rPr>
              <w:t>）支持空间聊天，实现空间内的即时沟通，支持文字、语音输入和表情发送，同时智能屏蔽敏感词。</w:t>
            </w:r>
            <w:r>
              <w:rPr>
                <w:rFonts w:hint="eastAsia" w:ascii="宋体" w:hAnsi="宋体" w:eastAsia="宋体" w:cs="宋体"/>
                <w:snapToGrid/>
                <w:color w:val="auto"/>
                <w:kern w:val="0"/>
                <w:sz w:val="24"/>
                <w:szCs w:val="24"/>
                <w:highlight w:val="none"/>
                <w:lang w:eastAsia="zh-CN"/>
              </w:rPr>
              <w:t>（</w:t>
            </w:r>
            <w:r>
              <w:rPr>
                <w:rFonts w:hint="eastAsia" w:ascii="宋体" w:hAnsi="宋体" w:eastAsia="宋体" w:cs="宋体"/>
                <w:b/>
                <w:bCs/>
                <w:snapToGrid/>
                <w:color w:val="auto"/>
                <w:kern w:val="0"/>
                <w:sz w:val="24"/>
                <w:szCs w:val="24"/>
                <w:highlight w:val="none"/>
              </w:rPr>
              <w:t>提供功能截图</w:t>
            </w:r>
            <w:r>
              <w:rPr>
                <w:rFonts w:hint="eastAsia" w:ascii="宋体" w:hAnsi="宋体" w:eastAsia="宋体" w:cs="宋体"/>
                <w:snapToGrid/>
                <w:color w:val="auto"/>
                <w:kern w:val="0"/>
                <w:sz w:val="24"/>
                <w:szCs w:val="24"/>
                <w:highlight w:val="none"/>
                <w:lang w:eastAsia="zh-CN"/>
              </w:rPr>
              <w:t>）</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w:t>
            </w:r>
            <w:r>
              <w:rPr>
                <w:rFonts w:hint="eastAsia" w:ascii="宋体" w:hAnsi="宋体" w:eastAsia="宋体" w:cs="宋体"/>
                <w:snapToGrid/>
                <w:color w:val="auto"/>
                <w:kern w:val="0"/>
                <w:sz w:val="24"/>
                <w:szCs w:val="24"/>
                <w:highlight w:val="none"/>
                <w:lang w:val="en-US" w:eastAsia="zh-CN"/>
              </w:rPr>
              <w:t>4</w:t>
            </w:r>
            <w:r>
              <w:rPr>
                <w:rFonts w:hint="eastAsia" w:ascii="宋体" w:hAnsi="宋体" w:eastAsia="宋体" w:cs="宋体"/>
                <w:snapToGrid/>
                <w:color w:val="auto"/>
                <w:kern w:val="0"/>
                <w:sz w:val="24"/>
                <w:szCs w:val="24"/>
                <w:highlight w:val="none"/>
              </w:rPr>
              <w:t>）支持用户一键复位，快速回归初始视角。</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w:t>
            </w:r>
            <w:r>
              <w:rPr>
                <w:rFonts w:hint="eastAsia" w:ascii="宋体" w:hAnsi="宋体" w:eastAsia="宋体" w:cs="宋体"/>
                <w:snapToGrid/>
                <w:color w:val="auto"/>
                <w:kern w:val="0"/>
                <w:sz w:val="24"/>
                <w:szCs w:val="24"/>
                <w:highlight w:val="none"/>
                <w:lang w:val="en-US" w:eastAsia="zh-CN"/>
              </w:rPr>
              <w:t>5</w:t>
            </w:r>
            <w:r>
              <w:rPr>
                <w:rFonts w:hint="eastAsia" w:ascii="宋体" w:hAnsi="宋体" w:eastAsia="宋体" w:cs="宋体"/>
                <w:snapToGrid/>
                <w:color w:val="auto"/>
                <w:kern w:val="0"/>
                <w:sz w:val="24"/>
                <w:szCs w:val="24"/>
                <w:highlight w:val="none"/>
              </w:rPr>
              <w:t>）支持语音实时交流，学生可以通过举手向老师申请语音发言。</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6.支持元宇宙内容创作</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6.1 3D场景</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▲（1）学生可以充分发挥创意，自定义创作元宇宙内容，充分激发他们的创造力和想象力。提供不少于15个预置场景，涵盖红色展厅、教室、会议室、科技、艺术展厅等丰富主题。</w:t>
            </w:r>
            <w:r>
              <w:rPr>
                <w:rFonts w:hint="eastAsia" w:ascii="宋体" w:hAnsi="宋体" w:eastAsia="宋体" w:cs="宋体"/>
                <w:snapToGrid/>
                <w:color w:val="auto"/>
                <w:kern w:val="0"/>
                <w:sz w:val="24"/>
                <w:szCs w:val="24"/>
                <w:highlight w:val="none"/>
                <w:lang w:eastAsia="zh-CN"/>
              </w:rPr>
              <w:t>（</w:t>
            </w:r>
            <w:r>
              <w:rPr>
                <w:rFonts w:hint="eastAsia" w:ascii="宋体" w:hAnsi="宋体" w:eastAsia="宋体" w:cs="宋体"/>
                <w:b/>
                <w:bCs/>
                <w:snapToGrid/>
                <w:color w:val="auto"/>
                <w:kern w:val="0"/>
                <w:sz w:val="24"/>
                <w:szCs w:val="24"/>
                <w:highlight w:val="none"/>
              </w:rPr>
              <w:t>提供功能截图</w:t>
            </w:r>
            <w:r>
              <w:rPr>
                <w:rFonts w:hint="eastAsia" w:ascii="宋体" w:hAnsi="宋体" w:eastAsia="宋体" w:cs="宋体"/>
                <w:snapToGrid/>
                <w:color w:val="auto"/>
                <w:kern w:val="0"/>
                <w:sz w:val="24"/>
                <w:szCs w:val="24"/>
                <w:highlight w:val="none"/>
                <w:lang w:eastAsia="zh-CN"/>
              </w:rPr>
              <w:t>）</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（2）支持平面类素材（PPT文档/图片/视频）拖出到3D场景时自动吸附到墙面，有效帮助用户布置展陈内容。</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（3）支持创作内容保存与共享：学生创作的内容支持保存。</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6.2 素材库</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（1）素材包括三维模型、PPT文档、视频、图片、网页链接、数字人等多种类型，无需复杂编程，通过简单的点、拖、拉、拽即可实现素材的创建与布局。</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（2）支持快速编辑：支持对单个素材（模型/PPT/普通图片/普通视频）进行缩放、旋转、移动、复制、删除等编辑操作，便于学生根据创作思路进行精准塑造和自由调整。</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（3）支持学生在已拖出素材上添加互动热点，轻松实现不同素材间的智能链接。</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6.3 支持AI生成素材</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▲支持AI生成文字</w:t>
            </w:r>
            <w:r>
              <w:rPr>
                <w:rFonts w:hint="eastAsia" w:ascii="宋体" w:hAnsi="宋体" w:eastAsia="宋体" w:cs="宋体"/>
                <w:snapToGrid/>
                <w:color w:val="auto"/>
                <w:kern w:val="0"/>
                <w:sz w:val="24"/>
                <w:szCs w:val="24"/>
                <w:highlight w:val="none"/>
                <w:lang w:eastAsia="zh-CN"/>
              </w:rPr>
              <w:t>、</w:t>
            </w:r>
            <w:r>
              <w:rPr>
                <w:rFonts w:hint="eastAsia" w:ascii="宋体" w:hAnsi="宋体" w:eastAsia="宋体" w:cs="宋体"/>
                <w:snapToGrid/>
                <w:color w:val="auto"/>
                <w:kern w:val="0"/>
                <w:sz w:val="24"/>
                <w:szCs w:val="24"/>
                <w:highlight w:val="none"/>
              </w:rPr>
              <w:t>图片</w:t>
            </w:r>
            <w:r>
              <w:rPr>
                <w:rFonts w:hint="eastAsia" w:ascii="宋体" w:hAnsi="宋体" w:eastAsia="宋体" w:cs="宋体"/>
                <w:snapToGrid/>
                <w:color w:val="auto"/>
                <w:kern w:val="0"/>
                <w:sz w:val="24"/>
                <w:szCs w:val="24"/>
                <w:highlight w:val="none"/>
                <w:lang w:eastAsia="zh-CN"/>
              </w:rPr>
              <w:t>、</w:t>
            </w:r>
            <w:r>
              <w:rPr>
                <w:rFonts w:hint="eastAsia" w:ascii="宋体" w:hAnsi="宋体" w:eastAsia="宋体" w:cs="宋体"/>
                <w:snapToGrid/>
                <w:color w:val="auto"/>
                <w:kern w:val="0"/>
                <w:sz w:val="24"/>
                <w:szCs w:val="24"/>
                <w:highlight w:val="none"/>
                <w:lang w:val="en-US" w:eastAsia="zh-CN"/>
              </w:rPr>
              <w:t>视频</w:t>
            </w:r>
            <w:r>
              <w:rPr>
                <w:rFonts w:hint="eastAsia" w:ascii="宋体" w:hAnsi="宋体" w:cs="宋体"/>
                <w:snapToGrid/>
                <w:color w:val="auto"/>
                <w:kern w:val="0"/>
                <w:sz w:val="24"/>
                <w:szCs w:val="24"/>
                <w:highlight w:val="none"/>
                <w:lang w:val="en-US" w:eastAsia="zh-CN"/>
              </w:rPr>
              <w:t>等素材</w:t>
            </w:r>
            <w:r>
              <w:rPr>
                <w:rFonts w:hint="eastAsia" w:ascii="宋体" w:hAnsi="宋体" w:eastAsia="宋体" w:cs="宋体"/>
                <w:snapToGrid/>
                <w:color w:val="auto"/>
                <w:kern w:val="0"/>
                <w:sz w:val="24"/>
                <w:szCs w:val="24"/>
                <w:highlight w:val="none"/>
                <w:lang w:eastAsia="zh-CN"/>
              </w:rPr>
              <w:t>，</w:t>
            </w:r>
            <w:r>
              <w:rPr>
                <w:rFonts w:hint="eastAsia" w:ascii="宋体" w:hAnsi="宋体" w:eastAsia="宋体" w:cs="宋体"/>
                <w:snapToGrid/>
                <w:color w:val="auto"/>
                <w:kern w:val="0"/>
                <w:sz w:val="24"/>
                <w:szCs w:val="24"/>
                <w:highlight w:val="none"/>
                <w:lang w:val="en-US" w:eastAsia="zh-CN"/>
              </w:rPr>
              <w:t>生成的</w:t>
            </w:r>
            <w:r>
              <w:rPr>
                <w:rFonts w:hint="eastAsia" w:ascii="宋体" w:hAnsi="宋体" w:eastAsia="宋体" w:cs="宋体"/>
                <w:snapToGrid/>
                <w:color w:val="auto"/>
                <w:kern w:val="0"/>
                <w:sz w:val="24"/>
                <w:szCs w:val="24"/>
                <w:highlight w:val="none"/>
              </w:rPr>
              <w:t>素材</w:t>
            </w:r>
            <w:r>
              <w:rPr>
                <w:rFonts w:hint="eastAsia" w:ascii="宋体" w:hAnsi="宋体" w:eastAsia="宋体" w:cs="宋体"/>
                <w:snapToGrid/>
                <w:color w:val="auto"/>
                <w:kern w:val="0"/>
                <w:sz w:val="24"/>
                <w:szCs w:val="24"/>
                <w:highlight w:val="none"/>
                <w:lang w:val="en-US" w:eastAsia="zh-CN"/>
              </w:rPr>
              <w:t>可保存在</w:t>
            </w:r>
            <w:r>
              <w:rPr>
                <w:rFonts w:hint="eastAsia" w:ascii="宋体" w:hAnsi="宋体" w:eastAsia="宋体" w:cs="宋体"/>
                <w:snapToGrid/>
                <w:color w:val="auto"/>
                <w:kern w:val="0"/>
                <w:sz w:val="24"/>
                <w:szCs w:val="24"/>
                <w:highlight w:val="none"/>
              </w:rPr>
              <w:t>素材库中</w:t>
            </w:r>
            <w:r>
              <w:rPr>
                <w:rFonts w:hint="eastAsia" w:ascii="宋体" w:hAnsi="宋体" w:eastAsia="宋体" w:cs="宋体"/>
                <w:snapToGrid/>
                <w:color w:val="auto"/>
                <w:kern w:val="0"/>
                <w:sz w:val="24"/>
                <w:szCs w:val="24"/>
                <w:highlight w:val="none"/>
                <w:lang w:val="en-US" w:eastAsia="zh-CN"/>
              </w:rPr>
              <w:t>用于场景创建。</w:t>
            </w:r>
            <w:r>
              <w:rPr>
                <w:rFonts w:hint="eastAsia" w:ascii="宋体" w:hAnsi="宋体" w:eastAsia="宋体" w:cs="宋体"/>
                <w:snapToGrid/>
                <w:color w:val="auto"/>
                <w:kern w:val="0"/>
                <w:sz w:val="24"/>
                <w:szCs w:val="24"/>
                <w:highlight w:val="none"/>
                <w:lang w:eastAsia="zh-CN"/>
              </w:rPr>
              <w:t>（</w:t>
            </w:r>
            <w:r>
              <w:rPr>
                <w:rFonts w:hint="eastAsia" w:ascii="宋体" w:hAnsi="宋体" w:eastAsia="宋体" w:cs="宋体"/>
                <w:b/>
                <w:bCs/>
                <w:snapToGrid/>
                <w:color w:val="auto"/>
                <w:kern w:val="0"/>
                <w:sz w:val="24"/>
                <w:szCs w:val="24"/>
                <w:highlight w:val="none"/>
              </w:rPr>
              <w:t>提供功能截图</w:t>
            </w:r>
            <w:r>
              <w:rPr>
                <w:rFonts w:hint="eastAsia" w:ascii="宋体" w:hAnsi="宋体" w:eastAsia="宋体" w:cs="宋体"/>
                <w:snapToGrid/>
                <w:color w:val="auto"/>
                <w:kern w:val="0"/>
                <w:sz w:val="24"/>
                <w:szCs w:val="24"/>
                <w:highlight w:val="none"/>
                <w:lang w:eastAsia="zh-CN"/>
              </w:rPr>
              <w:t>）</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7.AI数字人</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（1）支持用户自定义添加素材和自定义AI数字人，以辅助教学、讲解、播报、问答。内置不少于30个人物角色形象任意选择；</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（2）数字人融合AI、TTS、语音播报等功能；</w:t>
            </w:r>
          </w:p>
          <w:p w14:paraId="5DA1BE6E">
            <w:pPr>
              <w:keepNext w:val="0"/>
              <w:keepLines w:val="0"/>
              <w:pageBreakBefore w:val="0"/>
              <w:widowControl/>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snapToGrid/>
                <w:color w:val="auto"/>
                <w:kern w:val="0"/>
                <w:sz w:val="24"/>
                <w:szCs w:val="24"/>
                <w:highlight w:val="none"/>
                <w:lang w:val="en-US" w:eastAsia="zh-CN"/>
              </w:rPr>
            </w:pPr>
            <w:r>
              <w:rPr>
                <w:rFonts w:hint="eastAsia" w:ascii="宋体" w:hAnsi="宋体" w:eastAsia="宋体" w:cs="宋体"/>
                <w:snapToGrid/>
                <w:color w:val="auto"/>
                <w:kern w:val="0"/>
                <w:sz w:val="24"/>
                <w:szCs w:val="24"/>
                <w:highlight w:val="none"/>
              </w:rPr>
              <w:t>8.云端预设智能体不少于10种，支持用户根据需要随时选用智能体。</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9.个性化设置</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支持对辅助显示与使用习惯进行个性化设置（不限于虚拟角色身高调整、空间内虚拟摇杆显示、空间地面显示、视角控制习惯、虚拟软键盘等），使用户可根据自身视觉感受、操作习惯与使用场景进行调整。</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（4）支持用户虚拟角色选择和换装，学生可选择契合形象或创作场景的角色，并支持更换发型或着装部件。</w:t>
            </w:r>
            <w:r>
              <w:rPr>
                <w:rFonts w:hint="eastAsia" w:ascii="宋体" w:hAnsi="宋体" w:eastAsia="宋体" w:cs="宋体"/>
                <w:snapToGrid/>
                <w:color w:val="auto"/>
                <w:kern w:val="0"/>
                <w:sz w:val="24"/>
                <w:szCs w:val="24"/>
                <w:highlight w:val="none"/>
              </w:rPr>
              <w:br w:type="textWrapping"/>
            </w:r>
            <w:r>
              <w:rPr>
                <w:rFonts w:hint="eastAsia" w:ascii="宋体" w:hAnsi="宋体" w:eastAsia="宋体" w:cs="宋体"/>
                <w:snapToGrid/>
                <w:color w:val="auto"/>
                <w:kern w:val="0"/>
                <w:sz w:val="24"/>
                <w:szCs w:val="24"/>
                <w:highlight w:val="none"/>
              </w:rPr>
              <w:t>10.交互面板：</w:t>
            </w:r>
            <w:r>
              <w:rPr>
                <w:rFonts w:hint="eastAsia" w:ascii="宋体" w:hAnsi="宋体" w:eastAsia="宋体" w:cs="宋体"/>
                <w:snapToGrid/>
                <w:color w:val="auto"/>
                <w:kern w:val="0"/>
                <w:sz w:val="24"/>
                <w:szCs w:val="24"/>
                <w:highlight w:val="none"/>
                <w:lang w:val="en-US" w:eastAsia="zh-CN"/>
              </w:rPr>
              <w:t>显示屏：≥12.9英寸</w:t>
            </w:r>
            <w:r>
              <w:rPr>
                <w:rFonts w:hint="eastAsia" w:ascii="宋体" w:hAnsi="宋体" w:eastAsia="宋体" w:cs="宋体"/>
                <w:snapToGrid/>
                <w:color w:val="auto"/>
                <w:kern w:val="0"/>
                <w:sz w:val="24"/>
                <w:szCs w:val="24"/>
                <w:highlight w:val="none"/>
                <w:lang w:eastAsia="zh-CN"/>
              </w:rPr>
              <w:t>，GPU算力≥1.5 TFLOPS，</w:t>
            </w:r>
            <w:r>
              <w:rPr>
                <w:rFonts w:hint="eastAsia" w:ascii="宋体" w:hAnsi="宋体" w:eastAsia="宋体" w:cs="宋体"/>
                <w:i w:val="0"/>
                <w:iCs w:val="0"/>
                <w:caps w:val="0"/>
                <w:color w:val="auto"/>
                <w:spacing w:val="0"/>
                <w:sz w:val="24"/>
                <w:szCs w:val="24"/>
                <w:highlight w:val="none"/>
              </w:rPr>
              <w:t>支持Wi-Fi 7（802.11be）</w:t>
            </w:r>
            <w:r>
              <w:rPr>
                <w:rFonts w:hint="eastAsia" w:ascii="宋体" w:hAnsi="宋体" w:eastAsia="宋体" w:cs="宋体"/>
                <w:snapToGrid/>
                <w:color w:val="auto"/>
                <w:kern w:val="0"/>
                <w:sz w:val="24"/>
                <w:szCs w:val="24"/>
                <w:highlight w:val="none"/>
                <w:lang w:eastAsia="zh-CN"/>
              </w:rPr>
              <w:t>，</w:t>
            </w:r>
            <w:r>
              <w:rPr>
                <w:rFonts w:hint="eastAsia" w:ascii="宋体" w:hAnsi="宋体" w:eastAsia="宋体" w:cs="宋体"/>
                <w:snapToGrid/>
                <w:color w:val="auto"/>
                <w:kern w:val="0"/>
                <w:sz w:val="24"/>
                <w:szCs w:val="24"/>
                <w:highlight w:val="none"/>
              </w:rPr>
              <w:t>内置6DoF空间定位模块（支持位置/旋转六自由度追踪）</w:t>
            </w:r>
            <w:r>
              <w:rPr>
                <w:rFonts w:hint="eastAsia" w:ascii="宋体" w:hAnsi="宋体" w:eastAsia="宋体" w:cs="宋体"/>
                <w:snapToGrid/>
                <w:color w:val="auto"/>
                <w:kern w:val="0"/>
                <w:sz w:val="24"/>
                <w:szCs w:val="24"/>
                <w:highlight w:val="none"/>
                <w:lang w:eastAsia="zh-CN"/>
              </w:rPr>
              <w:t>；</w:t>
            </w:r>
            <w:r>
              <w:rPr>
                <w:rFonts w:hint="eastAsia" w:ascii="宋体" w:hAnsi="宋体" w:eastAsia="宋体" w:cs="宋体"/>
                <w:snapToGrid/>
                <w:color w:val="auto"/>
                <w:kern w:val="0"/>
                <w:sz w:val="24"/>
                <w:szCs w:val="24"/>
                <w:highlight w:val="none"/>
              </w:rPr>
              <w:t>或</w:t>
            </w:r>
            <w:r>
              <w:rPr>
                <w:rFonts w:hint="eastAsia" w:ascii="宋体" w:hAnsi="宋体" w:eastAsia="宋体" w:cs="宋体"/>
                <w:snapToGrid/>
                <w:color w:val="auto"/>
                <w:kern w:val="0"/>
                <w:sz w:val="24"/>
                <w:szCs w:val="24"/>
                <w:highlight w:val="none"/>
                <w:lang w:val="en-US" w:eastAsia="zh-CN"/>
              </w:rPr>
              <w:t>提供</w:t>
            </w:r>
            <w:r>
              <w:rPr>
                <w:rFonts w:hint="eastAsia" w:ascii="宋体" w:hAnsi="宋体" w:eastAsia="宋体" w:cs="宋体"/>
                <w:snapToGrid/>
                <w:color w:val="auto"/>
                <w:kern w:val="0"/>
                <w:sz w:val="24"/>
                <w:szCs w:val="24"/>
                <w:highlight w:val="none"/>
              </w:rPr>
              <w:t>同等性能以上</w:t>
            </w:r>
            <w:r>
              <w:rPr>
                <w:rFonts w:hint="eastAsia" w:ascii="宋体" w:hAnsi="宋体" w:eastAsia="宋体" w:cs="宋体"/>
                <w:snapToGrid/>
                <w:color w:val="auto"/>
                <w:kern w:val="0"/>
                <w:sz w:val="24"/>
                <w:szCs w:val="24"/>
                <w:highlight w:val="none"/>
                <w:lang w:val="en-US" w:eastAsia="zh-CN"/>
              </w:rPr>
              <w:t>的交互平板.</w:t>
            </w:r>
          </w:p>
          <w:p w14:paraId="2D4B444E">
            <w:pPr>
              <w:keepNext w:val="0"/>
              <w:keepLines w:val="0"/>
              <w:pageBreakBefore w:val="0"/>
              <w:widowControl/>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snapToGrid/>
                <w:color w:val="auto"/>
                <w:kern w:val="0"/>
                <w:sz w:val="24"/>
                <w:szCs w:val="24"/>
                <w:highlight w:val="none"/>
                <w:lang w:val="en-US" w:eastAsia="zh-CN"/>
              </w:rPr>
            </w:pPr>
            <w:r>
              <w:rPr>
                <w:rFonts w:hint="eastAsia" w:ascii="宋体" w:hAnsi="宋体" w:eastAsia="宋体" w:cs="宋体"/>
                <w:snapToGrid/>
                <w:color w:val="auto"/>
                <w:kern w:val="0"/>
                <w:sz w:val="24"/>
                <w:szCs w:val="24"/>
                <w:highlight w:val="none"/>
                <w:lang w:val="en-US" w:eastAsia="zh-CN"/>
              </w:rPr>
              <w:t>11.配套充电箱（共配套一台）</w:t>
            </w:r>
          </w:p>
          <w:p w14:paraId="32F4F75F">
            <w:pPr>
              <w:keepNext w:val="0"/>
              <w:keepLines w:val="0"/>
              <w:pageBreakBefore w:val="0"/>
              <w:widowControl/>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snapToGrid/>
                <w:color w:val="auto"/>
                <w:kern w:val="0"/>
                <w:sz w:val="24"/>
                <w:szCs w:val="24"/>
                <w:highlight w:val="none"/>
                <w:lang w:val="en-US" w:eastAsia="zh-CN"/>
              </w:rPr>
            </w:pPr>
            <w:r>
              <w:rPr>
                <w:rFonts w:hint="eastAsia" w:ascii="宋体" w:hAnsi="宋体" w:eastAsia="宋体" w:cs="宋体"/>
                <w:snapToGrid/>
                <w:color w:val="auto"/>
                <w:kern w:val="0"/>
                <w:sz w:val="24"/>
                <w:szCs w:val="24"/>
                <w:highlight w:val="none"/>
                <w:lang w:val="en-US" w:eastAsia="zh-CN"/>
              </w:rPr>
              <w:t>配套1台30位移动充电推车，满足主动式PFC节能开关电源功能，柜内置十重安全保护：</w:t>
            </w:r>
          </w:p>
          <w:p w14:paraId="5AB82F01">
            <w:pPr>
              <w:keepNext w:val="0"/>
              <w:keepLines w:val="0"/>
              <w:pageBreakBefore w:val="0"/>
              <w:widowControl/>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snapToGrid/>
                <w:color w:val="auto"/>
                <w:kern w:val="0"/>
                <w:sz w:val="24"/>
                <w:szCs w:val="24"/>
                <w:highlight w:val="none"/>
                <w:lang w:val="en-US" w:eastAsia="zh-CN"/>
              </w:rPr>
            </w:pPr>
            <w:r>
              <w:rPr>
                <w:rFonts w:hint="eastAsia" w:ascii="宋体" w:hAnsi="宋体" w:eastAsia="宋体" w:cs="宋体"/>
                <w:snapToGrid/>
                <w:color w:val="auto"/>
                <w:kern w:val="0"/>
                <w:sz w:val="24"/>
                <w:szCs w:val="24"/>
                <w:highlight w:val="none"/>
                <w:lang w:val="en-US" w:eastAsia="zh-CN"/>
              </w:rPr>
              <w:t>（1）雷击保护；</w:t>
            </w:r>
          </w:p>
          <w:p w14:paraId="6ED82138">
            <w:pPr>
              <w:keepNext w:val="0"/>
              <w:keepLines w:val="0"/>
              <w:pageBreakBefore w:val="0"/>
              <w:widowControl/>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snapToGrid/>
                <w:color w:val="auto"/>
                <w:kern w:val="0"/>
                <w:sz w:val="24"/>
                <w:szCs w:val="24"/>
                <w:highlight w:val="none"/>
                <w:lang w:val="en-US" w:eastAsia="zh-CN"/>
              </w:rPr>
            </w:pPr>
            <w:r>
              <w:rPr>
                <w:rFonts w:hint="eastAsia" w:ascii="宋体" w:hAnsi="宋体" w:eastAsia="宋体" w:cs="宋体"/>
                <w:snapToGrid/>
                <w:color w:val="auto"/>
                <w:kern w:val="0"/>
                <w:sz w:val="24"/>
                <w:szCs w:val="24"/>
                <w:highlight w:val="none"/>
                <w:lang w:val="en-US" w:eastAsia="zh-CN"/>
              </w:rPr>
              <w:t>（2）浪涌保护；</w:t>
            </w:r>
          </w:p>
          <w:p w14:paraId="10AEF04B">
            <w:pPr>
              <w:keepNext w:val="0"/>
              <w:keepLines w:val="0"/>
              <w:pageBreakBefore w:val="0"/>
              <w:widowControl/>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snapToGrid/>
                <w:color w:val="auto"/>
                <w:kern w:val="0"/>
                <w:sz w:val="24"/>
                <w:szCs w:val="24"/>
                <w:highlight w:val="none"/>
                <w:lang w:val="en-US" w:eastAsia="zh-CN"/>
              </w:rPr>
            </w:pPr>
            <w:r>
              <w:rPr>
                <w:rFonts w:hint="eastAsia" w:ascii="宋体" w:hAnsi="宋体" w:eastAsia="宋体" w:cs="宋体"/>
                <w:snapToGrid/>
                <w:color w:val="auto"/>
                <w:kern w:val="0"/>
                <w:sz w:val="24"/>
                <w:szCs w:val="24"/>
                <w:highlight w:val="none"/>
                <w:lang w:val="en-US" w:eastAsia="zh-CN"/>
              </w:rPr>
              <w:t>（3）过载保护；</w:t>
            </w:r>
          </w:p>
          <w:p w14:paraId="79B5F2F0">
            <w:pPr>
              <w:keepNext w:val="0"/>
              <w:keepLines w:val="0"/>
              <w:pageBreakBefore w:val="0"/>
              <w:widowControl/>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snapToGrid/>
                <w:color w:val="auto"/>
                <w:kern w:val="0"/>
                <w:sz w:val="24"/>
                <w:szCs w:val="24"/>
                <w:highlight w:val="none"/>
                <w:lang w:val="en-US" w:eastAsia="zh-CN"/>
              </w:rPr>
            </w:pPr>
            <w:r>
              <w:rPr>
                <w:rFonts w:hint="eastAsia" w:ascii="宋体" w:hAnsi="宋体" w:eastAsia="宋体" w:cs="宋体"/>
                <w:snapToGrid/>
                <w:color w:val="auto"/>
                <w:kern w:val="0"/>
                <w:sz w:val="24"/>
                <w:szCs w:val="24"/>
                <w:highlight w:val="none"/>
                <w:lang w:val="en-US" w:eastAsia="zh-CN"/>
              </w:rPr>
              <w:t>（4）漏电保护；</w:t>
            </w:r>
          </w:p>
          <w:p w14:paraId="3156B8A4">
            <w:pPr>
              <w:keepNext w:val="0"/>
              <w:keepLines w:val="0"/>
              <w:pageBreakBefore w:val="0"/>
              <w:widowControl/>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snapToGrid/>
                <w:color w:val="auto"/>
                <w:kern w:val="0"/>
                <w:sz w:val="24"/>
                <w:szCs w:val="24"/>
                <w:highlight w:val="none"/>
                <w:lang w:val="en-US" w:eastAsia="zh-CN"/>
              </w:rPr>
            </w:pPr>
            <w:r>
              <w:rPr>
                <w:rFonts w:hint="eastAsia" w:ascii="宋体" w:hAnsi="宋体" w:eastAsia="宋体" w:cs="宋体"/>
                <w:snapToGrid/>
                <w:color w:val="auto"/>
                <w:kern w:val="0"/>
                <w:sz w:val="24"/>
                <w:szCs w:val="24"/>
                <w:highlight w:val="none"/>
                <w:lang w:val="en-US" w:eastAsia="zh-CN"/>
              </w:rPr>
              <w:t>（5）隔离保护；</w:t>
            </w:r>
          </w:p>
          <w:p w14:paraId="5BF8ACED">
            <w:pPr>
              <w:keepNext w:val="0"/>
              <w:keepLines w:val="0"/>
              <w:pageBreakBefore w:val="0"/>
              <w:widowControl/>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snapToGrid/>
                <w:color w:val="auto"/>
                <w:kern w:val="0"/>
                <w:sz w:val="24"/>
                <w:szCs w:val="24"/>
                <w:highlight w:val="none"/>
                <w:lang w:val="en-US" w:eastAsia="zh-CN"/>
              </w:rPr>
            </w:pPr>
            <w:r>
              <w:rPr>
                <w:rFonts w:hint="eastAsia" w:ascii="宋体" w:hAnsi="宋体" w:eastAsia="宋体" w:cs="宋体"/>
                <w:snapToGrid/>
                <w:color w:val="auto"/>
                <w:kern w:val="0"/>
                <w:sz w:val="24"/>
                <w:szCs w:val="24"/>
                <w:highlight w:val="none"/>
                <w:lang w:val="en-US" w:eastAsia="zh-CN"/>
              </w:rPr>
              <w:t>（6）过流保护；</w:t>
            </w:r>
          </w:p>
          <w:p w14:paraId="21E81803">
            <w:pPr>
              <w:keepNext w:val="0"/>
              <w:keepLines w:val="0"/>
              <w:pageBreakBefore w:val="0"/>
              <w:widowControl/>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snapToGrid/>
                <w:color w:val="auto"/>
                <w:kern w:val="0"/>
                <w:sz w:val="24"/>
                <w:szCs w:val="24"/>
                <w:highlight w:val="none"/>
                <w:lang w:val="en-US" w:eastAsia="zh-CN"/>
              </w:rPr>
            </w:pPr>
            <w:r>
              <w:rPr>
                <w:rFonts w:hint="eastAsia" w:ascii="宋体" w:hAnsi="宋体" w:eastAsia="宋体" w:cs="宋体"/>
                <w:snapToGrid/>
                <w:color w:val="auto"/>
                <w:kern w:val="0"/>
                <w:sz w:val="24"/>
                <w:szCs w:val="24"/>
                <w:highlight w:val="none"/>
                <w:lang w:val="en-US" w:eastAsia="zh-CN"/>
              </w:rPr>
              <w:t>（7）过压保护；</w:t>
            </w:r>
          </w:p>
          <w:p w14:paraId="40679FF8">
            <w:pPr>
              <w:keepNext w:val="0"/>
              <w:keepLines w:val="0"/>
              <w:pageBreakBefore w:val="0"/>
              <w:widowControl/>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snapToGrid/>
                <w:color w:val="auto"/>
                <w:kern w:val="0"/>
                <w:sz w:val="24"/>
                <w:szCs w:val="24"/>
                <w:highlight w:val="none"/>
                <w:lang w:val="en-US" w:eastAsia="zh-CN"/>
              </w:rPr>
            </w:pPr>
            <w:r>
              <w:rPr>
                <w:rFonts w:hint="eastAsia" w:ascii="宋体" w:hAnsi="宋体" w:eastAsia="宋体" w:cs="宋体"/>
                <w:snapToGrid/>
                <w:color w:val="auto"/>
                <w:kern w:val="0"/>
                <w:sz w:val="24"/>
                <w:szCs w:val="24"/>
                <w:highlight w:val="none"/>
                <w:lang w:val="en-US" w:eastAsia="zh-CN"/>
              </w:rPr>
              <w:t>（8）短路保护；</w:t>
            </w:r>
          </w:p>
          <w:p w14:paraId="5BE92ABB">
            <w:pPr>
              <w:keepNext w:val="0"/>
              <w:keepLines w:val="0"/>
              <w:pageBreakBefore w:val="0"/>
              <w:widowControl/>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snapToGrid/>
                <w:color w:val="auto"/>
                <w:kern w:val="0"/>
                <w:sz w:val="24"/>
                <w:szCs w:val="24"/>
                <w:highlight w:val="none"/>
                <w:lang w:val="en-US" w:eastAsia="zh-CN"/>
              </w:rPr>
            </w:pPr>
            <w:r>
              <w:rPr>
                <w:rFonts w:hint="eastAsia" w:ascii="宋体" w:hAnsi="宋体" w:eastAsia="宋体" w:cs="宋体"/>
                <w:snapToGrid/>
                <w:color w:val="auto"/>
                <w:kern w:val="0"/>
                <w:sz w:val="24"/>
                <w:szCs w:val="24"/>
                <w:highlight w:val="none"/>
                <w:lang w:val="en-US" w:eastAsia="zh-CN"/>
              </w:rPr>
              <w:t>（9）过充保护；</w:t>
            </w:r>
          </w:p>
          <w:p w14:paraId="68514901">
            <w:pPr>
              <w:keepNext w:val="0"/>
              <w:keepLines w:val="0"/>
              <w:pageBreakBefore w:val="0"/>
              <w:widowControl/>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snapToGrid/>
                <w:color w:val="auto"/>
                <w:kern w:val="0"/>
                <w:sz w:val="24"/>
                <w:szCs w:val="24"/>
                <w:highlight w:val="none"/>
                <w:lang w:val="en-US" w:eastAsia="zh-CN"/>
              </w:rPr>
              <w:t>（10）灌流保护。</w:t>
            </w:r>
          </w:p>
        </w:tc>
      </w:tr>
      <w:tr w14:paraId="06B45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46" w:type="dxa"/>
            <w:vAlign w:val="center"/>
          </w:tcPr>
          <w:p w14:paraId="17413507">
            <w:pPr>
              <w:widowControl/>
              <w:spacing w:line="360" w:lineRule="auto"/>
              <w:jc w:val="center"/>
              <w:rPr>
                <w:rFonts w:hint="eastAsia" w:ascii="宋体" w:hAnsi="宋体" w:eastAsia="宋体" w:cs="宋体"/>
                <w:snapToGrid/>
                <w:color w:val="auto"/>
                <w:kern w:val="0"/>
                <w:sz w:val="24"/>
                <w:szCs w:val="24"/>
                <w:highlight w:val="none"/>
                <w:lang w:eastAsia="zh-CN"/>
              </w:rPr>
            </w:pPr>
            <w:r>
              <w:rPr>
                <w:rFonts w:hint="eastAsia" w:ascii="宋体" w:hAnsi="宋体" w:eastAsia="宋体" w:cs="宋体"/>
                <w:snapToGrid/>
                <w:color w:val="auto"/>
                <w:kern w:val="0"/>
                <w:sz w:val="24"/>
                <w:szCs w:val="24"/>
                <w:highlight w:val="none"/>
                <w:lang w:val="en-US" w:eastAsia="zh-CN"/>
              </w:rPr>
              <w:t>5</w:t>
            </w:r>
          </w:p>
        </w:tc>
        <w:tc>
          <w:tcPr>
            <w:tcW w:w="763" w:type="dxa"/>
            <w:vAlign w:val="center"/>
          </w:tcPr>
          <w:p w14:paraId="5E60DEDB">
            <w:pPr>
              <w:widowControl/>
              <w:spacing w:line="360" w:lineRule="auto"/>
              <w:jc w:val="center"/>
              <w:rPr>
                <w:rFonts w:hint="eastAsia" w:ascii="宋体" w:hAnsi="宋体" w:eastAsia="宋体" w:cs="宋体"/>
                <w:snapToGrid/>
                <w:color w:val="auto"/>
                <w:kern w:val="0"/>
                <w:sz w:val="24"/>
                <w:szCs w:val="24"/>
                <w:highlight w:val="none"/>
              </w:rPr>
            </w:pPr>
            <w:r>
              <w:rPr>
                <w:rFonts w:hint="eastAsia" w:ascii="宋体" w:hAnsi="宋体" w:eastAsia="宋体" w:cs="宋体"/>
                <w:snapToGrid/>
                <w:color w:val="auto"/>
                <w:kern w:val="0"/>
                <w:sz w:val="24"/>
                <w:szCs w:val="24"/>
                <w:highlight w:val="none"/>
              </w:rPr>
              <w:t>无线AP</w:t>
            </w:r>
          </w:p>
        </w:tc>
        <w:tc>
          <w:tcPr>
            <w:tcW w:w="7790" w:type="dxa"/>
            <w:vAlign w:val="center"/>
          </w:tcPr>
          <w:p w14:paraId="25CF55FF">
            <w:pPr>
              <w:widowControl/>
              <w:numPr>
                <w:ilvl w:val="0"/>
                <w:numId w:val="4"/>
              </w:numPr>
              <w:spacing w:line="360" w:lineRule="auto"/>
              <w:jc w:val="left"/>
              <w:rPr>
                <w:rFonts w:hint="eastAsia" w:ascii="宋体" w:hAnsi="宋体" w:eastAsia="宋体" w:cs="宋体"/>
                <w:snapToGrid/>
                <w:color w:val="auto"/>
                <w:kern w:val="0"/>
                <w:sz w:val="24"/>
                <w:szCs w:val="24"/>
                <w:highlight w:val="none"/>
                <w:lang w:val="en-US" w:eastAsia="zh-CN"/>
              </w:rPr>
            </w:pPr>
            <w:r>
              <w:rPr>
                <w:rFonts w:hint="eastAsia" w:ascii="宋体" w:hAnsi="宋体" w:eastAsia="宋体" w:cs="宋体"/>
                <w:snapToGrid/>
                <w:color w:val="auto"/>
                <w:kern w:val="0"/>
                <w:sz w:val="24"/>
                <w:szCs w:val="24"/>
                <w:highlight w:val="none"/>
                <w:lang w:val="en-US" w:eastAsia="zh-CN"/>
              </w:rPr>
              <w:t>无线标准：符合IEEE 802.11be (Wi-Fi 7)；</w:t>
            </w:r>
          </w:p>
          <w:p w14:paraId="0008E103">
            <w:pPr>
              <w:widowControl/>
              <w:numPr>
                <w:ilvl w:val="0"/>
                <w:numId w:val="4"/>
              </w:numPr>
              <w:spacing w:line="360" w:lineRule="auto"/>
              <w:jc w:val="left"/>
              <w:rPr>
                <w:rFonts w:hint="eastAsia" w:ascii="宋体" w:hAnsi="宋体" w:eastAsia="宋体" w:cs="宋体"/>
                <w:snapToGrid/>
                <w:color w:val="auto"/>
                <w:kern w:val="0"/>
                <w:sz w:val="24"/>
                <w:szCs w:val="24"/>
                <w:highlight w:val="none"/>
              </w:rPr>
            </w:pPr>
            <w:r>
              <w:rPr>
                <w:rFonts w:hint="eastAsia" w:ascii="宋体" w:hAnsi="宋体" w:eastAsia="宋体" w:cs="宋体"/>
                <w:snapToGrid/>
                <w:color w:val="auto"/>
                <w:kern w:val="0"/>
                <w:sz w:val="24"/>
                <w:szCs w:val="24"/>
                <w:highlight w:val="none"/>
                <w:lang w:val="en-US" w:eastAsia="zh-CN"/>
              </w:rPr>
              <w:t xml:space="preserve">规范，空间流：≥4×4 MU-MIMO，支持320MHz频宽； </w:t>
            </w:r>
          </w:p>
          <w:p w14:paraId="08A41B6E">
            <w:pPr>
              <w:widowControl/>
              <w:numPr>
                <w:ilvl w:val="0"/>
                <w:numId w:val="4"/>
              </w:numPr>
              <w:spacing w:line="360" w:lineRule="auto"/>
              <w:jc w:val="left"/>
              <w:rPr>
                <w:rFonts w:hint="eastAsia" w:ascii="宋体" w:hAnsi="宋体" w:eastAsia="宋体" w:cs="宋体"/>
                <w:snapToGrid/>
                <w:color w:val="auto"/>
                <w:kern w:val="0"/>
                <w:sz w:val="24"/>
                <w:szCs w:val="24"/>
                <w:highlight w:val="none"/>
              </w:rPr>
            </w:pPr>
            <w:r>
              <w:rPr>
                <w:rFonts w:hint="eastAsia" w:ascii="宋体" w:hAnsi="宋体" w:eastAsia="宋体" w:cs="宋体"/>
                <w:snapToGrid/>
                <w:color w:val="auto"/>
                <w:kern w:val="0"/>
                <w:sz w:val="24"/>
                <w:szCs w:val="24"/>
                <w:highlight w:val="none"/>
                <w:lang w:val="en-US" w:eastAsia="zh-CN"/>
              </w:rPr>
              <w:t xml:space="preserve">单设备速率：≥2.4Gbps（160MHz频宽下实测）； </w:t>
            </w:r>
          </w:p>
          <w:p w14:paraId="0CEDA25F">
            <w:pPr>
              <w:widowControl/>
              <w:numPr>
                <w:ilvl w:val="0"/>
                <w:numId w:val="4"/>
              </w:numPr>
              <w:spacing w:line="360" w:lineRule="auto"/>
              <w:jc w:val="left"/>
              <w:rPr>
                <w:rFonts w:hint="eastAsia" w:ascii="宋体" w:hAnsi="宋体" w:eastAsia="宋体" w:cs="宋体"/>
                <w:snapToGrid/>
                <w:color w:val="auto"/>
                <w:kern w:val="0"/>
                <w:sz w:val="24"/>
                <w:szCs w:val="24"/>
                <w:highlight w:val="none"/>
              </w:rPr>
            </w:pPr>
            <w:r>
              <w:rPr>
                <w:rFonts w:hint="eastAsia" w:ascii="宋体" w:hAnsi="宋体" w:eastAsia="宋体" w:cs="宋体"/>
                <w:snapToGrid/>
                <w:color w:val="auto"/>
                <w:kern w:val="0"/>
                <w:sz w:val="24"/>
                <w:szCs w:val="24"/>
                <w:highlight w:val="none"/>
                <w:lang w:val="en-US" w:eastAsia="zh-CN"/>
              </w:rPr>
              <w:t>并发能力：单AP支持≥2</w:t>
            </w:r>
            <w:r>
              <w:rPr>
                <w:rFonts w:hint="eastAsia" w:ascii="宋体" w:hAnsi="宋体" w:cs="宋体"/>
                <w:snapToGrid/>
                <w:color w:val="auto"/>
                <w:kern w:val="0"/>
                <w:sz w:val="24"/>
                <w:szCs w:val="24"/>
                <w:highlight w:val="none"/>
                <w:lang w:val="en-US" w:eastAsia="zh-CN"/>
              </w:rPr>
              <w:t>0</w:t>
            </w:r>
            <w:r>
              <w:rPr>
                <w:rFonts w:hint="eastAsia" w:ascii="宋体" w:hAnsi="宋体" w:eastAsia="宋体" w:cs="宋体"/>
                <w:snapToGrid/>
                <w:color w:val="auto"/>
                <w:kern w:val="0"/>
                <w:sz w:val="24"/>
                <w:szCs w:val="24"/>
                <w:highlight w:val="none"/>
                <w:lang w:val="en-US" w:eastAsia="zh-CN"/>
              </w:rPr>
              <w:t xml:space="preserve">台终端同时在线，每终端稳定带宽≥150Mbps； </w:t>
            </w:r>
          </w:p>
          <w:p w14:paraId="74DE6B34">
            <w:pPr>
              <w:widowControl/>
              <w:numPr>
                <w:ilvl w:val="0"/>
                <w:numId w:val="4"/>
              </w:numPr>
              <w:spacing w:line="360" w:lineRule="auto"/>
              <w:jc w:val="left"/>
              <w:rPr>
                <w:rFonts w:hint="eastAsia" w:ascii="宋体" w:hAnsi="宋体" w:eastAsia="宋体" w:cs="宋体"/>
                <w:snapToGrid/>
                <w:color w:val="auto"/>
                <w:kern w:val="0"/>
                <w:sz w:val="24"/>
                <w:szCs w:val="24"/>
                <w:highlight w:val="none"/>
              </w:rPr>
            </w:pPr>
            <w:r>
              <w:rPr>
                <w:rFonts w:hint="eastAsia" w:ascii="宋体" w:hAnsi="宋体" w:eastAsia="宋体" w:cs="宋体"/>
                <w:snapToGrid/>
                <w:color w:val="auto"/>
                <w:kern w:val="0"/>
                <w:sz w:val="24"/>
                <w:szCs w:val="24"/>
                <w:highlight w:val="none"/>
                <w:lang w:val="en-US" w:eastAsia="zh-CN"/>
              </w:rPr>
              <w:t>供电：支持802.3bt PoE++（单端口输出功率≥90W）</w:t>
            </w:r>
          </w:p>
        </w:tc>
      </w:tr>
      <w:tr w14:paraId="58BA2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46" w:type="dxa"/>
            <w:vAlign w:val="center"/>
          </w:tcPr>
          <w:p w14:paraId="73300DB1">
            <w:pPr>
              <w:widowControl/>
              <w:spacing w:line="360" w:lineRule="auto"/>
              <w:jc w:val="center"/>
              <w:rPr>
                <w:rFonts w:hint="eastAsia" w:ascii="宋体" w:hAnsi="宋体" w:eastAsia="宋体" w:cs="宋体"/>
                <w:snapToGrid/>
                <w:color w:val="auto"/>
                <w:kern w:val="0"/>
                <w:sz w:val="24"/>
                <w:szCs w:val="24"/>
                <w:highlight w:val="none"/>
                <w:lang w:val="en-US" w:eastAsia="zh-CN"/>
              </w:rPr>
            </w:pPr>
            <w:r>
              <w:rPr>
                <w:rFonts w:hint="eastAsia" w:ascii="宋体" w:hAnsi="宋体" w:eastAsia="宋体" w:cs="宋体"/>
                <w:snapToGrid/>
                <w:color w:val="auto"/>
                <w:kern w:val="0"/>
                <w:sz w:val="24"/>
                <w:szCs w:val="24"/>
                <w:highlight w:val="none"/>
                <w:lang w:val="en-US" w:eastAsia="zh-CN"/>
              </w:rPr>
              <w:t>6</w:t>
            </w:r>
          </w:p>
        </w:tc>
        <w:tc>
          <w:tcPr>
            <w:tcW w:w="763" w:type="dxa"/>
            <w:shd w:val="clear" w:color="auto" w:fill="auto"/>
            <w:vAlign w:val="center"/>
          </w:tcPr>
          <w:p w14:paraId="6B4D3451">
            <w:pPr>
              <w:widowControl/>
              <w:spacing w:line="360" w:lineRule="auto"/>
              <w:jc w:val="center"/>
              <w:rPr>
                <w:rFonts w:hint="eastAsia" w:ascii="宋体" w:hAnsi="宋体" w:eastAsia="宋体" w:cs="宋体"/>
                <w:snapToGrid/>
                <w:color w:val="auto"/>
                <w:kern w:val="0"/>
                <w:sz w:val="24"/>
                <w:szCs w:val="24"/>
                <w:highlight w:val="none"/>
                <w:lang w:val="en-US" w:eastAsia="zh-CN" w:bidi="ar-SA"/>
              </w:rPr>
            </w:pPr>
            <w:r>
              <w:rPr>
                <w:rFonts w:hint="eastAsia" w:ascii="宋体" w:hAnsi="宋体" w:eastAsia="宋体" w:cs="宋体"/>
                <w:snapToGrid/>
                <w:color w:val="auto"/>
                <w:kern w:val="0"/>
                <w:sz w:val="24"/>
                <w:szCs w:val="24"/>
                <w:highlight w:val="none"/>
              </w:rPr>
              <w:t>24口PoE交换机</w:t>
            </w:r>
          </w:p>
        </w:tc>
        <w:tc>
          <w:tcPr>
            <w:tcW w:w="7790" w:type="dxa"/>
            <w:shd w:val="clear" w:color="auto" w:fill="auto"/>
            <w:vAlign w:val="center"/>
          </w:tcPr>
          <w:p w14:paraId="10920765">
            <w:pPr>
              <w:widowControl/>
              <w:spacing w:line="360" w:lineRule="auto"/>
              <w:jc w:val="left"/>
              <w:rPr>
                <w:rFonts w:hint="eastAsia" w:ascii="宋体" w:hAnsi="宋体" w:eastAsia="宋体" w:cs="宋体"/>
                <w:snapToGrid/>
                <w:color w:val="auto"/>
                <w:kern w:val="0"/>
                <w:sz w:val="24"/>
                <w:szCs w:val="24"/>
                <w:highlight w:val="none"/>
                <w:lang w:val="en-US" w:eastAsia="zh-CN"/>
              </w:rPr>
            </w:pPr>
            <w:r>
              <w:rPr>
                <w:rFonts w:hint="eastAsia" w:ascii="宋体" w:hAnsi="宋体" w:eastAsia="宋体" w:cs="宋体"/>
                <w:snapToGrid/>
                <w:color w:val="auto"/>
                <w:kern w:val="0"/>
                <w:sz w:val="24"/>
                <w:szCs w:val="24"/>
                <w:highlight w:val="none"/>
                <w:lang w:val="en-US" w:eastAsia="zh-CN"/>
              </w:rPr>
              <w:t>1.下行端口：24个2.5GBASE-T RJ45接口，支持802.3bt PoE++（整机供电功率≥720W）；</w:t>
            </w:r>
          </w:p>
          <w:p w14:paraId="074FCC81">
            <w:pPr>
              <w:widowControl/>
              <w:spacing w:line="360" w:lineRule="auto"/>
              <w:jc w:val="left"/>
              <w:rPr>
                <w:rFonts w:hint="eastAsia" w:ascii="宋体" w:hAnsi="宋体" w:eastAsia="宋体" w:cs="宋体"/>
                <w:snapToGrid/>
                <w:color w:val="auto"/>
                <w:kern w:val="0"/>
                <w:sz w:val="24"/>
                <w:szCs w:val="24"/>
                <w:highlight w:val="none"/>
                <w:lang w:val="en-US" w:eastAsia="zh-CN"/>
              </w:rPr>
            </w:pPr>
            <w:r>
              <w:rPr>
                <w:rFonts w:hint="eastAsia" w:ascii="宋体" w:hAnsi="宋体" w:eastAsia="宋体" w:cs="宋体"/>
                <w:snapToGrid/>
                <w:color w:val="auto"/>
                <w:kern w:val="0"/>
                <w:sz w:val="24"/>
                <w:szCs w:val="24"/>
                <w:highlight w:val="none"/>
                <w:lang w:val="en-US" w:eastAsia="zh-CN"/>
              </w:rPr>
              <w:t>2.上行端口：4个10GBASE-X SFP+光口（兼容1G/10G自适应）；</w:t>
            </w:r>
          </w:p>
          <w:p w14:paraId="1C9132E4">
            <w:pPr>
              <w:widowControl/>
              <w:spacing w:line="360" w:lineRule="auto"/>
              <w:jc w:val="left"/>
              <w:rPr>
                <w:rFonts w:hint="eastAsia" w:ascii="宋体" w:hAnsi="宋体" w:eastAsia="宋体" w:cs="宋体"/>
                <w:snapToGrid/>
                <w:color w:val="auto"/>
                <w:kern w:val="0"/>
                <w:sz w:val="24"/>
                <w:szCs w:val="24"/>
                <w:highlight w:val="none"/>
                <w:lang w:val="en-US" w:eastAsia="zh-CN"/>
              </w:rPr>
            </w:pPr>
            <w:r>
              <w:rPr>
                <w:rFonts w:hint="eastAsia" w:ascii="宋体" w:hAnsi="宋体" w:eastAsia="宋体" w:cs="宋体"/>
                <w:snapToGrid/>
                <w:color w:val="auto"/>
                <w:kern w:val="0"/>
                <w:sz w:val="24"/>
                <w:szCs w:val="24"/>
                <w:highlight w:val="none"/>
                <w:lang w:val="en-US" w:eastAsia="zh-CN"/>
              </w:rPr>
              <w:t>3.背板带宽：≥128Gbps，包转发率≥95Mpps；</w:t>
            </w:r>
          </w:p>
          <w:p w14:paraId="68B5C09C">
            <w:pPr>
              <w:widowControl/>
              <w:spacing w:line="360" w:lineRule="auto"/>
              <w:jc w:val="left"/>
              <w:rPr>
                <w:rFonts w:hint="eastAsia" w:ascii="宋体" w:hAnsi="宋体" w:eastAsia="宋体" w:cs="宋体"/>
                <w:snapToGrid/>
                <w:color w:val="auto"/>
                <w:kern w:val="0"/>
                <w:sz w:val="24"/>
                <w:szCs w:val="24"/>
                <w:highlight w:val="none"/>
                <w:lang w:val="en-US" w:eastAsia="zh-CN" w:bidi="ar-SA"/>
              </w:rPr>
            </w:pPr>
            <w:r>
              <w:rPr>
                <w:rFonts w:hint="eastAsia" w:ascii="宋体" w:hAnsi="宋体" w:eastAsia="宋体" w:cs="宋体"/>
                <w:snapToGrid/>
                <w:color w:val="auto"/>
                <w:kern w:val="0"/>
                <w:sz w:val="24"/>
                <w:szCs w:val="24"/>
                <w:highlight w:val="none"/>
                <w:lang w:val="en-US" w:eastAsia="zh-CN"/>
              </w:rPr>
              <w:t>4.管理功能：支持SNMPv3、LLDP、802.1Q VLAN划分。</w:t>
            </w:r>
          </w:p>
        </w:tc>
      </w:tr>
    </w:tbl>
    <w:p w14:paraId="722756EF">
      <w:pPr>
        <w:pStyle w:val="15"/>
        <w:rPr>
          <w:rFonts w:hint="eastAsia" w:ascii="宋体" w:hAnsi="宋体" w:eastAsia="宋体" w:cs="宋体"/>
          <w:color w:val="auto"/>
          <w:highlight w:val="none"/>
        </w:rPr>
      </w:pPr>
    </w:p>
    <w:p w14:paraId="19E64C20">
      <w:pPr>
        <w:autoSpaceDE w:val="0"/>
        <w:autoSpaceDN w:val="0"/>
        <w:adjustRightInd w:val="0"/>
        <w:spacing w:line="360" w:lineRule="auto"/>
        <w:ind w:firstLine="480" w:firstLineChars="200"/>
        <w:rPr>
          <w:rFonts w:hint="eastAsia" w:ascii="宋体" w:hAnsi="宋体" w:eastAsia="宋体" w:cs="宋体"/>
          <w:color w:val="auto"/>
          <w:sz w:val="24"/>
          <w:highlight w:val="none"/>
        </w:rPr>
        <w:sectPr>
          <w:footerReference r:id="rId7" w:type="default"/>
          <w:pgSz w:w="11906" w:h="16838"/>
          <w:pgMar w:top="1247" w:right="1247" w:bottom="1247" w:left="1247" w:header="964" w:footer="992" w:gutter="0"/>
          <w:pgNumType w:fmt="decimal" w:start="1"/>
          <w:cols w:space="0" w:num="1"/>
          <w:docGrid w:type="lines" w:linePitch="319" w:charSpace="0"/>
        </w:sectPr>
      </w:pPr>
    </w:p>
    <w:p w14:paraId="06199AD8">
      <w:pPr>
        <w:pStyle w:val="2"/>
        <w:spacing w:line="240" w:lineRule="auto"/>
        <w:jc w:val="center"/>
        <w:rPr>
          <w:rFonts w:hint="eastAsia" w:ascii="宋体" w:hAnsi="宋体" w:eastAsia="宋体" w:cs="宋体"/>
          <w:bCs/>
          <w:color w:val="auto"/>
          <w:sz w:val="36"/>
          <w:highlight w:val="none"/>
        </w:rPr>
      </w:pPr>
      <w:bookmarkStart w:id="169" w:name="_Toc29034"/>
      <w:bookmarkStart w:id="170" w:name="_Toc31654"/>
      <w:r>
        <w:rPr>
          <w:rFonts w:hint="eastAsia" w:ascii="宋体" w:hAnsi="宋体" w:eastAsia="宋体" w:cs="宋体"/>
          <w:bCs/>
          <w:color w:val="auto"/>
          <w:sz w:val="36"/>
          <w:highlight w:val="none"/>
        </w:rPr>
        <w:t>第</w:t>
      </w:r>
      <w:r>
        <w:rPr>
          <w:rFonts w:hint="eastAsia" w:ascii="宋体" w:hAnsi="宋体" w:eastAsia="宋体" w:cs="宋体"/>
          <w:bCs/>
          <w:color w:val="auto"/>
          <w:sz w:val="36"/>
          <w:highlight w:val="none"/>
          <w:lang w:val="en-US" w:eastAsia="zh-CN"/>
        </w:rPr>
        <w:t>五</w:t>
      </w:r>
      <w:r>
        <w:rPr>
          <w:rFonts w:hint="eastAsia" w:ascii="宋体" w:hAnsi="宋体" w:eastAsia="宋体" w:cs="宋体"/>
          <w:bCs/>
          <w:color w:val="auto"/>
          <w:sz w:val="36"/>
          <w:highlight w:val="none"/>
        </w:rPr>
        <w:t xml:space="preserve">章  </w:t>
      </w:r>
      <w:bookmarkStart w:id="171" w:name="_Toc530745485"/>
      <w:r>
        <w:rPr>
          <w:rFonts w:hint="eastAsia" w:ascii="宋体" w:hAnsi="宋体" w:eastAsia="宋体" w:cs="宋体"/>
          <w:bCs/>
          <w:color w:val="auto"/>
          <w:sz w:val="36"/>
          <w:highlight w:val="none"/>
        </w:rPr>
        <w:t>资格评审标准</w:t>
      </w:r>
      <w:bookmarkEnd w:id="162"/>
      <w:bookmarkEnd w:id="163"/>
      <w:bookmarkEnd w:id="164"/>
      <w:bookmarkEnd w:id="169"/>
      <w:bookmarkEnd w:id="170"/>
      <w:bookmarkEnd w:id="171"/>
    </w:p>
    <w:p w14:paraId="1F560DEA">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依据法律法规和招标文件的规定，对投标文件中的资格证明文件进行审查，具体详见评审内容及标准。若下表中任意一条不合格则视为资格审查不合格。合格投标人不足3家的，不得评标。</w:t>
      </w:r>
    </w:p>
    <w:tbl>
      <w:tblPr>
        <w:tblStyle w:val="42"/>
        <w:tblW w:w="100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0"/>
        <w:gridCol w:w="706"/>
        <w:gridCol w:w="3414"/>
        <w:gridCol w:w="5000"/>
      </w:tblGrid>
      <w:tr w14:paraId="69F3C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exact"/>
          <w:tblHeader/>
          <w:jc w:val="center"/>
        </w:trPr>
        <w:tc>
          <w:tcPr>
            <w:tcW w:w="1616" w:type="dxa"/>
            <w:gridSpan w:val="2"/>
            <w:tcBorders>
              <w:top w:val="single" w:color="auto" w:sz="4" w:space="0"/>
              <w:left w:val="single" w:color="auto" w:sz="4" w:space="0"/>
              <w:bottom w:val="single" w:color="auto" w:sz="4" w:space="0"/>
              <w:right w:val="single" w:color="auto" w:sz="4" w:space="0"/>
            </w:tcBorders>
            <w:vAlign w:val="center"/>
          </w:tcPr>
          <w:p w14:paraId="43607B63">
            <w:pPr>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条款号</w:t>
            </w:r>
          </w:p>
        </w:tc>
        <w:tc>
          <w:tcPr>
            <w:tcW w:w="3414" w:type="dxa"/>
            <w:tcBorders>
              <w:top w:val="single" w:color="auto" w:sz="4" w:space="0"/>
              <w:left w:val="single" w:color="auto" w:sz="4" w:space="0"/>
              <w:bottom w:val="single" w:color="auto" w:sz="4" w:space="0"/>
              <w:right w:val="single" w:color="auto" w:sz="4" w:space="0"/>
            </w:tcBorders>
            <w:vAlign w:val="center"/>
          </w:tcPr>
          <w:p w14:paraId="676A5356">
            <w:pPr>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评 审 内 容</w:t>
            </w:r>
          </w:p>
        </w:tc>
        <w:tc>
          <w:tcPr>
            <w:tcW w:w="5000" w:type="dxa"/>
            <w:tcBorders>
              <w:top w:val="single" w:color="auto" w:sz="4" w:space="0"/>
              <w:left w:val="single" w:color="auto" w:sz="4" w:space="0"/>
              <w:bottom w:val="single" w:color="auto" w:sz="4" w:space="0"/>
              <w:right w:val="single" w:color="auto" w:sz="4" w:space="0"/>
            </w:tcBorders>
            <w:vAlign w:val="center"/>
          </w:tcPr>
          <w:p w14:paraId="750C0A4B">
            <w:pPr>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评 审 标 准</w:t>
            </w:r>
          </w:p>
        </w:tc>
      </w:tr>
      <w:tr w14:paraId="0BDCD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7" w:hRule="exact"/>
          <w:jc w:val="center"/>
        </w:trPr>
        <w:tc>
          <w:tcPr>
            <w:tcW w:w="910" w:type="dxa"/>
            <w:vMerge w:val="restart"/>
            <w:tcBorders>
              <w:top w:val="single" w:color="auto" w:sz="4" w:space="0"/>
              <w:left w:val="single" w:color="auto" w:sz="4" w:space="0"/>
              <w:right w:val="single" w:color="auto" w:sz="4" w:space="0"/>
            </w:tcBorders>
            <w:vAlign w:val="center"/>
          </w:tcPr>
          <w:p w14:paraId="4880169A">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2.1.1</w:t>
            </w:r>
          </w:p>
        </w:tc>
        <w:tc>
          <w:tcPr>
            <w:tcW w:w="706" w:type="dxa"/>
            <w:vMerge w:val="restart"/>
            <w:tcBorders>
              <w:top w:val="single" w:color="auto" w:sz="4" w:space="0"/>
              <w:left w:val="single" w:color="auto" w:sz="4" w:space="0"/>
              <w:right w:val="single" w:color="auto" w:sz="4" w:space="0"/>
            </w:tcBorders>
            <w:vAlign w:val="center"/>
          </w:tcPr>
          <w:p w14:paraId="74EFDF6B">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资格评审标准</w:t>
            </w:r>
          </w:p>
        </w:tc>
        <w:tc>
          <w:tcPr>
            <w:tcW w:w="8414" w:type="dxa"/>
            <w:gridSpan w:val="2"/>
            <w:tcBorders>
              <w:top w:val="single" w:color="auto" w:sz="4" w:space="0"/>
              <w:left w:val="single" w:color="auto" w:sz="4" w:space="0"/>
              <w:bottom w:val="single" w:color="auto" w:sz="4" w:space="0"/>
              <w:right w:val="single" w:color="auto" w:sz="4" w:space="0"/>
            </w:tcBorders>
            <w:vAlign w:val="center"/>
          </w:tcPr>
          <w:p w14:paraId="315B0508">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（一）满足《中华人民共和国政府采购法》第二十二条规定，提供下列资料：</w:t>
            </w:r>
          </w:p>
        </w:tc>
      </w:tr>
      <w:tr w14:paraId="78331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2" w:hRule="exact"/>
          <w:jc w:val="center"/>
        </w:trPr>
        <w:tc>
          <w:tcPr>
            <w:tcW w:w="910" w:type="dxa"/>
            <w:vMerge w:val="continue"/>
            <w:tcBorders>
              <w:left w:val="single" w:color="auto" w:sz="4" w:space="0"/>
              <w:right w:val="single" w:color="auto" w:sz="4" w:space="0"/>
            </w:tcBorders>
            <w:vAlign w:val="center"/>
          </w:tcPr>
          <w:p w14:paraId="31900CF1">
            <w:pPr>
              <w:widowControl/>
              <w:spacing w:line="360" w:lineRule="auto"/>
              <w:jc w:val="left"/>
              <w:rPr>
                <w:rFonts w:hint="eastAsia" w:ascii="宋体" w:hAnsi="宋体" w:eastAsia="宋体" w:cs="宋体"/>
                <w:color w:val="auto"/>
                <w:sz w:val="24"/>
                <w:highlight w:val="none"/>
              </w:rPr>
            </w:pPr>
          </w:p>
        </w:tc>
        <w:tc>
          <w:tcPr>
            <w:tcW w:w="706" w:type="dxa"/>
            <w:vMerge w:val="continue"/>
            <w:tcBorders>
              <w:left w:val="single" w:color="auto" w:sz="4" w:space="0"/>
              <w:right w:val="single" w:color="auto" w:sz="4" w:space="0"/>
            </w:tcBorders>
            <w:vAlign w:val="center"/>
          </w:tcPr>
          <w:p w14:paraId="7E4D46CC">
            <w:pPr>
              <w:widowControl/>
              <w:spacing w:line="360" w:lineRule="auto"/>
              <w:jc w:val="left"/>
              <w:rPr>
                <w:rFonts w:hint="eastAsia" w:ascii="宋体" w:hAnsi="宋体" w:eastAsia="宋体" w:cs="宋体"/>
                <w:color w:val="auto"/>
                <w:sz w:val="24"/>
                <w:highlight w:val="none"/>
              </w:rPr>
            </w:pPr>
          </w:p>
        </w:tc>
        <w:tc>
          <w:tcPr>
            <w:tcW w:w="3414" w:type="dxa"/>
            <w:tcBorders>
              <w:top w:val="single" w:color="auto" w:sz="4" w:space="0"/>
              <w:left w:val="single" w:color="auto" w:sz="4" w:space="0"/>
              <w:bottom w:val="single" w:color="auto" w:sz="4" w:space="0"/>
              <w:right w:val="single" w:color="auto" w:sz="4" w:space="0"/>
            </w:tcBorders>
            <w:vAlign w:val="center"/>
          </w:tcPr>
          <w:p w14:paraId="75A20AB9">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具有独立承担民事责任的能力</w:t>
            </w:r>
          </w:p>
        </w:tc>
        <w:tc>
          <w:tcPr>
            <w:tcW w:w="5000" w:type="dxa"/>
            <w:tcBorders>
              <w:top w:val="single" w:color="auto" w:sz="4" w:space="0"/>
              <w:left w:val="single" w:color="auto" w:sz="4" w:space="0"/>
              <w:bottom w:val="single" w:color="auto" w:sz="4" w:space="0"/>
              <w:right w:val="single" w:color="auto" w:sz="4" w:space="0"/>
            </w:tcBorders>
            <w:vAlign w:val="center"/>
          </w:tcPr>
          <w:p w14:paraId="64825CE8">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szCs w:val="21"/>
                <w:highlight w:val="none"/>
              </w:rPr>
              <w:t>提供有效的营业执照或其他组织证明或自然人身份证明</w:t>
            </w:r>
            <w:r>
              <w:rPr>
                <w:rFonts w:hint="eastAsia" w:ascii="宋体" w:hAnsi="宋体" w:eastAsia="宋体" w:cs="宋体"/>
                <w:color w:val="auto"/>
                <w:sz w:val="24"/>
                <w:highlight w:val="none"/>
              </w:rPr>
              <w:t>。</w:t>
            </w:r>
          </w:p>
        </w:tc>
      </w:tr>
      <w:tr w14:paraId="7CFE2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82" w:hRule="exact"/>
          <w:jc w:val="center"/>
        </w:trPr>
        <w:tc>
          <w:tcPr>
            <w:tcW w:w="910" w:type="dxa"/>
            <w:vMerge w:val="continue"/>
            <w:tcBorders>
              <w:left w:val="single" w:color="auto" w:sz="4" w:space="0"/>
              <w:right w:val="single" w:color="auto" w:sz="4" w:space="0"/>
            </w:tcBorders>
            <w:vAlign w:val="center"/>
          </w:tcPr>
          <w:p w14:paraId="5B84FCFF">
            <w:pPr>
              <w:widowControl/>
              <w:spacing w:line="360" w:lineRule="auto"/>
              <w:jc w:val="left"/>
              <w:rPr>
                <w:rFonts w:hint="eastAsia" w:ascii="宋体" w:hAnsi="宋体" w:eastAsia="宋体" w:cs="宋体"/>
                <w:color w:val="auto"/>
                <w:sz w:val="24"/>
                <w:highlight w:val="none"/>
              </w:rPr>
            </w:pPr>
          </w:p>
        </w:tc>
        <w:tc>
          <w:tcPr>
            <w:tcW w:w="706" w:type="dxa"/>
            <w:vMerge w:val="continue"/>
            <w:tcBorders>
              <w:left w:val="single" w:color="auto" w:sz="4" w:space="0"/>
              <w:right w:val="single" w:color="auto" w:sz="4" w:space="0"/>
            </w:tcBorders>
            <w:vAlign w:val="center"/>
          </w:tcPr>
          <w:p w14:paraId="17EABAC0">
            <w:pPr>
              <w:widowControl/>
              <w:spacing w:line="360" w:lineRule="auto"/>
              <w:jc w:val="left"/>
              <w:rPr>
                <w:rFonts w:hint="eastAsia" w:ascii="宋体" w:hAnsi="宋体" w:eastAsia="宋体" w:cs="宋体"/>
                <w:color w:val="auto"/>
                <w:sz w:val="24"/>
                <w:highlight w:val="none"/>
              </w:rPr>
            </w:pPr>
          </w:p>
        </w:tc>
        <w:tc>
          <w:tcPr>
            <w:tcW w:w="3414" w:type="dxa"/>
            <w:tcBorders>
              <w:top w:val="single" w:color="auto" w:sz="4" w:space="0"/>
              <w:left w:val="single" w:color="auto" w:sz="4" w:space="0"/>
              <w:bottom w:val="single" w:color="auto" w:sz="4" w:space="0"/>
              <w:right w:val="single" w:color="auto" w:sz="4" w:space="0"/>
            </w:tcBorders>
            <w:vAlign w:val="center"/>
          </w:tcPr>
          <w:p w14:paraId="230B11BF">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具有良好的商业信誉和健全的财务会计制度</w:t>
            </w:r>
          </w:p>
        </w:tc>
        <w:tc>
          <w:tcPr>
            <w:tcW w:w="5000" w:type="dxa"/>
            <w:tcBorders>
              <w:top w:val="single" w:color="auto" w:sz="4" w:space="0"/>
              <w:left w:val="single" w:color="auto" w:sz="4" w:space="0"/>
              <w:bottom w:val="single" w:color="auto" w:sz="4" w:space="0"/>
              <w:right w:val="single" w:color="auto" w:sz="4" w:space="0"/>
            </w:tcBorders>
            <w:vAlign w:val="center"/>
          </w:tcPr>
          <w:p w14:paraId="7AB4967D">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szCs w:val="21"/>
                <w:highlight w:val="none"/>
              </w:rPr>
              <w:t>提供202</w:t>
            </w:r>
            <w:r>
              <w:rPr>
                <w:rFonts w:hint="eastAsia" w:ascii="宋体" w:hAnsi="宋体" w:eastAsia="宋体" w:cs="宋体"/>
                <w:color w:val="auto"/>
                <w:sz w:val="24"/>
                <w:szCs w:val="21"/>
                <w:highlight w:val="none"/>
                <w:lang w:val="en-US" w:eastAsia="zh-CN"/>
              </w:rPr>
              <w:t>3</w:t>
            </w:r>
            <w:r>
              <w:rPr>
                <w:rFonts w:hint="eastAsia" w:ascii="宋体" w:hAnsi="宋体" w:eastAsia="宋体" w:cs="宋体"/>
                <w:color w:val="auto"/>
                <w:sz w:val="24"/>
                <w:szCs w:val="21"/>
                <w:highlight w:val="none"/>
              </w:rPr>
              <w:t>年至今任意一年的财务报表或经第三方审计的财务报告（包括资产负债表、现金流量表、利润表或损益表及会计报表附注），新成立的提供成立至本项目公告发布前一个月的财务报表或开户银行出具的资信证明或资金存款证明）</w:t>
            </w:r>
            <w:r>
              <w:rPr>
                <w:rFonts w:hint="eastAsia" w:ascii="宋体" w:hAnsi="宋体" w:eastAsia="宋体" w:cs="宋体"/>
                <w:color w:val="auto"/>
                <w:sz w:val="24"/>
                <w:highlight w:val="none"/>
              </w:rPr>
              <w:t>。</w:t>
            </w:r>
          </w:p>
        </w:tc>
      </w:tr>
      <w:tr w14:paraId="0EEF1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4" w:hRule="exact"/>
          <w:jc w:val="center"/>
        </w:trPr>
        <w:tc>
          <w:tcPr>
            <w:tcW w:w="910" w:type="dxa"/>
            <w:vMerge w:val="continue"/>
            <w:tcBorders>
              <w:left w:val="single" w:color="auto" w:sz="4" w:space="0"/>
              <w:right w:val="single" w:color="auto" w:sz="4" w:space="0"/>
            </w:tcBorders>
            <w:vAlign w:val="center"/>
          </w:tcPr>
          <w:p w14:paraId="3DE70560">
            <w:pPr>
              <w:widowControl/>
              <w:spacing w:line="360" w:lineRule="auto"/>
              <w:jc w:val="left"/>
              <w:rPr>
                <w:rFonts w:hint="eastAsia" w:ascii="宋体" w:hAnsi="宋体" w:eastAsia="宋体" w:cs="宋体"/>
                <w:color w:val="auto"/>
                <w:sz w:val="24"/>
                <w:highlight w:val="none"/>
              </w:rPr>
            </w:pPr>
          </w:p>
        </w:tc>
        <w:tc>
          <w:tcPr>
            <w:tcW w:w="706" w:type="dxa"/>
            <w:vMerge w:val="continue"/>
            <w:tcBorders>
              <w:left w:val="single" w:color="auto" w:sz="4" w:space="0"/>
              <w:right w:val="single" w:color="auto" w:sz="4" w:space="0"/>
            </w:tcBorders>
            <w:vAlign w:val="center"/>
          </w:tcPr>
          <w:p w14:paraId="62C6003A">
            <w:pPr>
              <w:widowControl/>
              <w:spacing w:line="360" w:lineRule="auto"/>
              <w:jc w:val="left"/>
              <w:rPr>
                <w:rFonts w:hint="eastAsia" w:ascii="宋体" w:hAnsi="宋体" w:eastAsia="宋体" w:cs="宋体"/>
                <w:color w:val="auto"/>
                <w:sz w:val="24"/>
                <w:highlight w:val="none"/>
              </w:rPr>
            </w:pPr>
          </w:p>
        </w:tc>
        <w:tc>
          <w:tcPr>
            <w:tcW w:w="3414" w:type="dxa"/>
            <w:tcBorders>
              <w:top w:val="single" w:color="auto" w:sz="4" w:space="0"/>
              <w:left w:val="single" w:color="auto" w:sz="4" w:space="0"/>
              <w:bottom w:val="single" w:color="auto" w:sz="4" w:space="0"/>
              <w:right w:val="single" w:color="auto" w:sz="4" w:space="0"/>
            </w:tcBorders>
            <w:vAlign w:val="center"/>
          </w:tcPr>
          <w:p w14:paraId="61038E6E">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具有履行合同所必需的设备和专业技术能力</w:t>
            </w:r>
          </w:p>
        </w:tc>
        <w:tc>
          <w:tcPr>
            <w:tcW w:w="5000" w:type="dxa"/>
            <w:tcBorders>
              <w:top w:val="single" w:color="auto" w:sz="4" w:space="0"/>
              <w:left w:val="single" w:color="auto" w:sz="4" w:space="0"/>
              <w:bottom w:val="single" w:color="auto" w:sz="4" w:space="0"/>
              <w:right w:val="single" w:color="auto" w:sz="4" w:space="0"/>
            </w:tcBorders>
            <w:vAlign w:val="center"/>
          </w:tcPr>
          <w:p w14:paraId="607BF83D">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提供相关证明材料或承诺。</w:t>
            </w:r>
          </w:p>
        </w:tc>
      </w:tr>
      <w:tr w14:paraId="74793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51" w:hRule="exact"/>
          <w:jc w:val="center"/>
        </w:trPr>
        <w:tc>
          <w:tcPr>
            <w:tcW w:w="910" w:type="dxa"/>
            <w:vMerge w:val="continue"/>
            <w:tcBorders>
              <w:left w:val="single" w:color="auto" w:sz="4" w:space="0"/>
              <w:right w:val="single" w:color="auto" w:sz="4" w:space="0"/>
            </w:tcBorders>
            <w:vAlign w:val="center"/>
          </w:tcPr>
          <w:p w14:paraId="04D2B3AF">
            <w:pPr>
              <w:widowControl/>
              <w:spacing w:line="360" w:lineRule="auto"/>
              <w:jc w:val="left"/>
              <w:rPr>
                <w:rFonts w:hint="eastAsia" w:ascii="宋体" w:hAnsi="宋体" w:eastAsia="宋体" w:cs="宋体"/>
                <w:color w:val="auto"/>
                <w:sz w:val="24"/>
                <w:highlight w:val="none"/>
              </w:rPr>
            </w:pPr>
          </w:p>
        </w:tc>
        <w:tc>
          <w:tcPr>
            <w:tcW w:w="706" w:type="dxa"/>
            <w:vMerge w:val="continue"/>
            <w:tcBorders>
              <w:left w:val="single" w:color="auto" w:sz="4" w:space="0"/>
              <w:right w:val="single" w:color="auto" w:sz="4" w:space="0"/>
            </w:tcBorders>
            <w:vAlign w:val="center"/>
          </w:tcPr>
          <w:p w14:paraId="22440044">
            <w:pPr>
              <w:widowControl/>
              <w:spacing w:line="360" w:lineRule="auto"/>
              <w:jc w:val="left"/>
              <w:rPr>
                <w:rFonts w:hint="eastAsia" w:ascii="宋体" w:hAnsi="宋体" w:eastAsia="宋体" w:cs="宋体"/>
                <w:color w:val="auto"/>
                <w:sz w:val="24"/>
                <w:highlight w:val="none"/>
              </w:rPr>
            </w:pPr>
          </w:p>
        </w:tc>
        <w:tc>
          <w:tcPr>
            <w:tcW w:w="3414" w:type="dxa"/>
            <w:tcBorders>
              <w:top w:val="single" w:color="auto" w:sz="4" w:space="0"/>
              <w:left w:val="single" w:color="auto" w:sz="4" w:space="0"/>
              <w:bottom w:val="single" w:color="auto" w:sz="4" w:space="0"/>
              <w:right w:val="single" w:color="auto" w:sz="4" w:space="0"/>
            </w:tcBorders>
            <w:vAlign w:val="center"/>
          </w:tcPr>
          <w:p w14:paraId="25CAF351">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有依法缴纳税收和社会保障资金的良好记录</w:t>
            </w:r>
          </w:p>
        </w:tc>
        <w:tc>
          <w:tcPr>
            <w:tcW w:w="5000" w:type="dxa"/>
            <w:tcBorders>
              <w:top w:val="single" w:color="auto" w:sz="4" w:space="0"/>
              <w:left w:val="single" w:color="auto" w:sz="4" w:space="0"/>
              <w:bottom w:val="single" w:color="auto" w:sz="4" w:space="0"/>
              <w:right w:val="single" w:color="auto" w:sz="4" w:space="0"/>
            </w:tcBorders>
            <w:vAlign w:val="center"/>
          </w:tcPr>
          <w:p w14:paraId="75E53042">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szCs w:val="21"/>
                <w:highlight w:val="none"/>
              </w:rPr>
              <w:t>提供202</w:t>
            </w:r>
            <w:r>
              <w:rPr>
                <w:rFonts w:hint="eastAsia" w:ascii="宋体" w:hAnsi="宋体" w:eastAsia="宋体" w:cs="宋体"/>
                <w:color w:val="auto"/>
                <w:sz w:val="24"/>
                <w:szCs w:val="21"/>
                <w:highlight w:val="none"/>
                <w:lang w:val="en-US" w:eastAsia="zh-CN"/>
              </w:rPr>
              <w:t>5</w:t>
            </w:r>
            <w:r>
              <w:rPr>
                <w:rFonts w:hint="eastAsia" w:ascii="宋体" w:hAnsi="宋体" w:eastAsia="宋体" w:cs="宋体"/>
                <w:color w:val="auto"/>
                <w:sz w:val="24"/>
                <w:szCs w:val="21"/>
                <w:highlight w:val="none"/>
              </w:rPr>
              <w:t>年6月至采购截止时间前任意3个月依法缴纳税收和缴纳社会保障资金的证明（新成立公司提供已有资料，如依法免税或不需要缴纳社会保障资金的，应提供相应文件证明）</w:t>
            </w:r>
            <w:r>
              <w:rPr>
                <w:rFonts w:hint="eastAsia" w:ascii="宋体" w:hAnsi="宋体" w:eastAsia="宋体" w:cs="宋体"/>
                <w:color w:val="auto"/>
                <w:sz w:val="24"/>
                <w:highlight w:val="none"/>
              </w:rPr>
              <w:t>。</w:t>
            </w:r>
          </w:p>
        </w:tc>
      </w:tr>
      <w:tr w14:paraId="494AB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61" w:hRule="exact"/>
          <w:jc w:val="center"/>
        </w:trPr>
        <w:tc>
          <w:tcPr>
            <w:tcW w:w="910" w:type="dxa"/>
            <w:vMerge w:val="continue"/>
            <w:tcBorders>
              <w:left w:val="single" w:color="auto" w:sz="4" w:space="0"/>
              <w:right w:val="single" w:color="auto" w:sz="4" w:space="0"/>
            </w:tcBorders>
            <w:vAlign w:val="center"/>
          </w:tcPr>
          <w:p w14:paraId="6988E988">
            <w:pPr>
              <w:widowControl/>
              <w:spacing w:line="360" w:lineRule="auto"/>
              <w:jc w:val="left"/>
              <w:rPr>
                <w:rFonts w:hint="eastAsia" w:ascii="宋体" w:hAnsi="宋体" w:eastAsia="宋体" w:cs="宋体"/>
                <w:color w:val="auto"/>
                <w:sz w:val="24"/>
                <w:highlight w:val="none"/>
              </w:rPr>
            </w:pPr>
          </w:p>
        </w:tc>
        <w:tc>
          <w:tcPr>
            <w:tcW w:w="706" w:type="dxa"/>
            <w:vMerge w:val="continue"/>
            <w:tcBorders>
              <w:left w:val="single" w:color="auto" w:sz="4" w:space="0"/>
              <w:right w:val="single" w:color="auto" w:sz="4" w:space="0"/>
            </w:tcBorders>
            <w:vAlign w:val="center"/>
          </w:tcPr>
          <w:p w14:paraId="4473EABC">
            <w:pPr>
              <w:widowControl/>
              <w:spacing w:line="360" w:lineRule="auto"/>
              <w:jc w:val="left"/>
              <w:rPr>
                <w:rFonts w:hint="eastAsia" w:ascii="宋体" w:hAnsi="宋体" w:eastAsia="宋体" w:cs="宋体"/>
                <w:color w:val="auto"/>
                <w:sz w:val="24"/>
                <w:highlight w:val="none"/>
              </w:rPr>
            </w:pPr>
          </w:p>
        </w:tc>
        <w:tc>
          <w:tcPr>
            <w:tcW w:w="3414" w:type="dxa"/>
            <w:tcBorders>
              <w:top w:val="single" w:color="auto" w:sz="4" w:space="0"/>
              <w:left w:val="single" w:color="auto" w:sz="4" w:space="0"/>
              <w:bottom w:val="single" w:color="auto" w:sz="4" w:space="0"/>
              <w:right w:val="single" w:color="auto" w:sz="4" w:space="0"/>
            </w:tcBorders>
            <w:vAlign w:val="center"/>
          </w:tcPr>
          <w:p w14:paraId="2E011074">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参加政府采购活动前三年内，在经营活动中没有重大违法记录</w:t>
            </w:r>
          </w:p>
        </w:tc>
        <w:tc>
          <w:tcPr>
            <w:tcW w:w="5000" w:type="dxa"/>
            <w:tcBorders>
              <w:top w:val="single" w:color="auto" w:sz="4" w:space="0"/>
              <w:left w:val="single" w:color="auto" w:sz="4" w:space="0"/>
              <w:bottom w:val="single" w:color="auto" w:sz="4" w:space="0"/>
              <w:right w:val="single" w:color="auto" w:sz="4" w:space="0"/>
            </w:tcBorders>
            <w:vAlign w:val="center"/>
          </w:tcPr>
          <w:p w14:paraId="79E10A07">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提供书面声明</w:t>
            </w:r>
          </w:p>
        </w:tc>
      </w:tr>
      <w:tr w14:paraId="0C859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88" w:hRule="exact"/>
          <w:jc w:val="center"/>
        </w:trPr>
        <w:tc>
          <w:tcPr>
            <w:tcW w:w="910" w:type="dxa"/>
            <w:vMerge w:val="continue"/>
            <w:tcBorders>
              <w:left w:val="single" w:color="auto" w:sz="4" w:space="0"/>
              <w:right w:val="single" w:color="auto" w:sz="4" w:space="0"/>
            </w:tcBorders>
            <w:vAlign w:val="center"/>
          </w:tcPr>
          <w:p w14:paraId="517D82CA">
            <w:pPr>
              <w:widowControl/>
              <w:spacing w:line="360" w:lineRule="auto"/>
              <w:jc w:val="left"/>
              <w:rPr>
                <w:rFonts w:hint="eastAsia" w:ascii="宋体" w:hAnsi="宋体" w:eastAsia="宋体" w:cs="宋体"/>
                <w:color w:val="auto"/>
                <w:sz w:val="24"/>
                <w:highlight w:val="none"/>
              </w:rPr>
            </w:pPr>
          </w:p>
        </w:tc>
        <w:tc>
          <w:tcPr>
            <w:tcW w:w="706" w:type="dxa"/>
            <w:vMerge w:val="continue"/>
            <w:tcBorders>
              <w:left w:val="single" w:color="auto" w:sz="4" w:space="0"/>
              <w:right w:val="single" w:color="auto" w:sz="4" w:space="0"/>
            </w:tcBorders>
            <w:vAlign w:val="center"/>
          </w:tcPr>
          <w:p w14:paraId="570F6A3B">
            <w:pPr>
              <w:widowControl/>
              <w:spacing w:line="360" w:lineRule="auto"/>
              <w:jc w:val="left"/>
              <w:rPr>
                <w:rFonts w:hint="eastAsia" w:ascii="宋体" w:hAnsi="宋体" w:eastAsia="宋体" w:cs="宋体"/>
                <w:color w:val="auto"/>
                <w:sz w:val="24"/>
                <w:highlight w:val="none"/>
              </w:rPr>
            </w:pPr>
          </w:p>
        </w:tc>
        <w:tc>
          <w:tcPr>
            <w:tcW w:w="3414" w:type="dxa"/>
            <w:tcBorders>
              <w:top w:val="single" w:color="auto" w:sz="4" w:space="0"/>
              <w:left w:val="single" w:color="auto" w:sz="4" w:space="0"/>
              <w:bottom w:val="single" w:color="auto" w:sz="4" w:space="0"/>
              <w:right w:val="single" w:color="auto" w:sz="4" w:space="0"/>
            </w:tcBorders>
            <w:vAlign w:val="center"/>
          </w:tcPr>
          <w:p w14:paraId="056B3407">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法律、行政法规规定的其他条件</w:t>
            </w:r>
          </w:p>
          <w:p w14:paraId="7CB794CE">
            <w:pPr>
              <w:spacing w:line="360" w:lineRule="auto"/>
              <w:ind w:firstLine="480" w:firstLineChars="200"/>
              <w:rPr>
                <w:rFonts w:hint="eastAsia" w:ascii="宋体" w:hAnsi="宋体" w:eastAsia="宋体" w:cs="宋体"/>
                <w:color w:val="auto"/>
                <w:sz w:val="24"/>
                <w:highlight w:val="none"/>
              </w:rPr>
            </w:pPr>
          </w:p>
        </w:tc>
        <w:tc>
          <w:tcPr>
            <w:tcW w:w="5000" w:type="dxa"/>
            <w:tcBorders>
              <w:top w:val="single" w:color="auto" w:sz="4" w:space="0"/>
              <w:left w:val="single" w:color="auto" w:sz="4" w:space="0"/>
              <w:bottom w:val="single" w:color="auto" w:sz="4" w:space="0"/>
              <w:right w:val="single" w:color="auto" w:sz="4" w:space="0"/>
            </w:tcBorders>
            <w:vAlign w:val="center"/>
          </w:tcPr>
          <w:p w14:paraId="29D49FBE">
            <w:pPr>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单位负责人为同一人或者存在直接控股、管理关系的不同投标人，不得参加同一合同项下的政府采购活动。为采购项目提供整体设计、规范编制或者项目管理、监理、检测等服务的投标人，不得再参加该采购项目的其他采购活动。</w:t>
            </w:r>
          </w:p>
          <w:p w14:paraId="5D010E12">
            <w:pPr>
              <w:spacing w:line="360" w:lineRule="auto"/>
              <w:rPr>
                <w:rFonts w:hint="eastAsia" w:ascii="宋体" w:hAnsi="宋体" w:eastAsia="宋体" w:cs="宋体"/>
                <w:color w:val="auto"/>
                <w:highlight w:val="none"/>
              </w:rPr>
            </w:pPr>
            <w:r>
              <w:rPr>
                <w:rFonts w:hint="eastAsia" w:ascii="宋体" w:hAnsi="宋体" w:eastAsia="宋体" w:cs="宋体"/>
                <w:color w:val="auto"/>
                <w:kern w:val="0"/>
                <w:sz w:val="24"/>
                <w:highlight w:val="none"/>
              </w:rPr>
              <w:t>（2）</w:t>
            </w:r>
            <w:r>
              <w:rPr>
                <w:rFonts w:hint="eastAsia" w:ascii="宋体" w:hAnsi="宋体" w:eastAsia="宋体" w:cs="宋体"/>
                <w:color w:val="auto"/>
                <w:sz w:val="24"/>
                <w:szCs w:val="21"/>
                <w:highlight w:val="none"/>
              </w:rPr>
              <w:t>投标人不得被“信用中国”网站（www.creditchina.gov.cn）列入失信被执行人或重大税收违法案件当事人名单、不得为“中国政府采购网”（www.ccgp.gov.cn）政府采购严重违法失信行为记录名单中被财政部门禁止参加政府采购活动的投标人（处罚决定规定的时间和地域范围内）（信誉查询时间截点：本项目采购公告发布之日起至投标文件递交截止时间止。代理机构在投标文件递交截止时间止对潜在投标人信誉情况进行查询，并交由评标委员会进行复核评审）。</w:t>
            </w:r>
          </w:p>
        </w:tc>
      </w:tr>
    </w:tbl>
    <w:p w14:paraId="7D1ADBC3">
      <w:pPr>
        <w:rPr>
          <w:rFonts w:hint="eastAsia" w:ascii="宋体" w:hAnsi="宋体" w:eastAsia="宋体" w:cs="宋体"/>
          <w:b/>
          <w:bCs/>
          <w:color w:val="auto"/>
          <w:kern w:val="44"/>
          <w:sz w:val="36"/>
          <w:szCs w:val="20"/>
          <w:highlight w:val="none"/>
        </w:rPr>
      </w:pPr>
      <w:r>
        <w:rPr>
          <w:rFonts w:hint="eastAsia" w:ascii="宋体" w:hAnsi="宋体" w:eastAsia="宋体" w:cs="宋体"/>
          <w:b/>
          <w:bCs/>
          <w:color w:val="auto"/>
          <w:kern w:val="44"/>
          <w:sz w:val="36"/>
          <w:szCs w:val="20"/>
          <w:highlight w:val="none"/>
        </w:rPr>
        <w:br w:type="page"/>
      </w:r>
    </w:p>
    <w:p w14:paraId="0A6DBBD5">
      <w:pPr>
        <w:pStyle w:val="2"/>
        <w:spacing w:line="240" w:lineRule="auto"/>
        <w:jc w:val="center"/>
        <w:rPr>
          <w:rFonts w:hint="eastAsia" w:ascii="宋体" w:hAnsi="宋体" w:eastAsia="宋体" w:cs="宋体"/>
          <w:bCs/>
          <w:color w:val="auto"/>
          <w:sz w:val="36"/>
          <w:highlight w:val="none"/>
        </w:rPr>
      </w:pPr>
      <w:bookmarkStart w:id="172" w:name="_Toc32016"/>
      <w:bookmarkStart w:id="173" w:name="_Toc4493"/>
      <w:bookmarkStart w:id="174" w:name="_Toc18944"/>
      <w:r>
        <w:rPr>
          <w:rFonts w:hint="eastAsia" w:ascii="宋体" w:hAnsi="宋体" w:eastAsia="宋体" w:cs="宋体"/>
          <w:bCs/>
          <w:color w:val="auto"/>
          <w:sz w:val="36"/>
          <w:highlight w:val="none"/>
        </w:rPr>
        <w:t>第</w:t>
      </w:r>
      <w:r>
        <w:rPr>
          <w:rFonts w:hint="eastAsia" w:ascii="宋体" w:hAnsi="宋体" w:eastAsia="宋体" w:cs="宋体"/>
          <w:bCs/>
          <w:color w:val="auto"/>
          <w:sz w:val="36"/>
          <w:highlight w:val="none"/>
          <w:lang w:val="en-US" w:eastAsia="zh-CN"/>
        </w:rPr>
        <w:t>六</w:t>
      </w:r>
      <w:r>
        <w:rPr>
          <w:rFonts w:hint="eastAsia" w:ascii="宋体" w:hAnsi="宋体" w:eastAsia="宋体" w:cs="宋体"/>
          <w:bCs/>
          <w:color w:val="auto"/>
          <w:sz w:val="36"/>
          <w:highlight w:val="none"/>
        </w:rPr>
        <w:t>章  评标办法（综合评分法）</w:t>
      </w:r>
      <w:bookmarkEnd w:id="172"/>
      <w:bookmarkEnd w:id="173"/>
      <w:bookmarkEnd w:id="174"/>
    </w:p>
    <w:p w14:paraId="2ECB94C0">
      <w:pPr>
        <w:jc w:val="center"/>
        <w:rPr>
          <w:rFonts w:hint="eastAsia" w:ascii="宋体" w:hAnsi="宋体" w:eastAsia="宋体" w:cs="宋体"/>
          <w:color w:val="auto"/>
          <w:sz w:val="28"/>
          <w:szCs w:val="36"/>
          <w:highlight w:val="none"/>
        </w:rPr>
      </w:pPr>
      <w:r>
        <w:rPr>
          <w:rFonts w:hint="eastAsia" w:ascii="宋体" w:hAnsi="宋体" w:eastAsia="宋体" w:cs="宋体"/>
          <w:b/>
          <w:bCs/>
          <w:color w:val="auto"/>
          <w:sz w:val="28"/>
          <w:szCs w:val="36"/>
          <w:highlight w:val="none"/>
        </w:rPr>
        <w:t>评标办法前附表</w:t>
      </w:r>
    </w:p>
    <w:p w14:paraId="53165055">
      <w:pPr>
        <w:spacing w:line="480" w:lineRule="exact"/>
        <w:rPr>
          <w:rFonts w:hint="eastAsia" w:ascii="宋体" w:hAnsi="宋体" w:eastAsia="宋体" w:cs="宋体"/>
          <w:b/>
          <w:bCs/>
          <w:color w:val="auto"/>
          <w:kern w:val="0"/>
          <w:sz w:val="24"/>
          <w:highlight w:val="none"/>
        </w:rPr>
      </w:pPr>
      <w:r>
        <w:rPr>
          <w:rFonts w:hint="eastAsia" w:ascii="宋体" w:hAnsi="宋体" w:eastAsia="宋体" w:cs="宋体"/>
          <w:b/>
          <w:bCs/>
          <w:color w:val="auto"/>
          <w:sz w:val="24"/>
          <w:highlight w:val="none"/>
        </w:rPr>
        <w:t>1、形式评审标准</w:t>
      </w:r>
    </w:p>
    <w:tbl>
      <w:tblPr>
        <w:tblStyle w:val="42"/>
        <w:tblW w:w="93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5"/>
        <w:gridCol w:w="4016"/>
        <w:gridCol w:w="4599"/>
      </w:tblGrid>
      <w:tr w14:paraId="36952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jc w:val="center"/>
        </w:trPr>
        <w:tc>
          <w:tcPr>
            <w:tcW w:w="725" w:type="dxa"/>
            <w:vMerge w:val="restart"/>
            <w:tcBorders>
              <w:top w:val="single" w:color="auto" w:sz="4" w:space="0"/>
              <w:left w:val="single" w:color="auto" w:sz="4" w:space="0"/>
              <w:bottom w:val="single" w:color="auto" w:sz="4" w:space="0"/>
              <w:right w:val="single" w:color="auto" w:sz="4" w:space="0"/>
            </w:tcBorders>
            <w:vAlign w:val="center"/>
          </w:tcPr>
          <w:p w14:paraId="1A14AAC4">
            <w:pPr>
              <w:spacing w:before="100" w:beforeAutospacing="1" w:after="100" w:afterAutospacing="1"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形式评审标准</w:t>
            </w:r>
          </w:p>
        </w:tc>
        <w:tc>
          <w:tcPr>
            <w:tcW w:w="4016" w:type="dxa"/>
            <w:tcBorders>
              <w:top w:val="single" w:color="auto" w:sz="4" w:space="0"/>
              <w:left w:val="single" w:color="auto" w:sz="4" w:space="0"/>
              <w:bottom w:val="single" w:color="auto" w:sz="4" w:space="0"/>
              <w:right w:val="single" w:color="auto" w:sz="4" w:space="0"/>
            </w:tcBorders>
            <w:vAlign w:val="center"/>
          </w:tcPr>
          <w:p w14:paraId="25E7EB89">
            <w:pPr>
              <w:spacing w:before="100" w:beforeAutospacing="1" w:after="100" w:afterAutospacing="1"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投标人名称</w:t>
            </w:r>
          </w:p>
        </w:tc>
        <w:tc>
          <w:tcPr>
            <w:tcW w:w="4599" w:type="dxa"/>
            <w:tcBorders>
              <w:top w:val="single" w:color="auto" w:sz="4" w:space="0"/>
              <w:left w:val="single" w:color="auto" w:sz="4" w:space="0"/>
              <w:bottom w:val="single" w:color="auto" w:sz="4" w:space="0"/>
              <w:right w:val="single" w:color="auto" w:sz="4" w:space="0"/>
            </w:tcBorders>
            <w:vAlign w:val="center"/>
          </w:tcPr>
          <w:p w14:paraId="4D43A170">
            <w:pPr>
              <w:spacing w:before="100" w:beforeAutospacing="1" w:after="100" w:afterAutospacing="1"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与营业执照、资质证书一致</w:t>
            </w:r>
          </w:p>
        </w:tc>
      </w:tr>
      <w:tr w14:paraId="06631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725" w:type="dxa"/>
            <w:vMerge w:val="continue"/>
            <w:tcBorders>
              <w:top w:val="single" w:color="auto" w:sz="4" w:space="0"/>
              <w:left w:val="single" w:color="auto" w:sz="4" w:space="0"/>
              <w:bottom w:val="single" w:color="auto" w:sz="4" w:space="0"/>
              <w:right w:val="single" w:color="auto" w:sz="4" w:space="0"/>
            </w:tcBorders>
            <w:vAlign w:val="center"/>
          </w:tcPr>
          <w:p w14:paraId="1331E0D8">
            <w:pPr>
              <w:widowControl/>
              <w:spacing w:line="360" w:lineRule="auto"/>
              <w:jc w:val="left"/>
              <w:rPr>
                <w:rFonts w:hint="eastAsia" w:ascii="宋体" w:hAnsi="宋体" w:eastAsia="宋体" w:cs="宋体"/>
                <w:color w:val="auto"/>
                <w:sz w:val="24"/>
                <w:highlight w:val="none"/>
              </w:rPr>
            </w:pPr>
          </w:p>
        </w:tc>
        <w:tc>
          <w:tcPr>
            <w:tcW w:w="4016" w:type="dxa"/>
            <w:tcBorders>
              <w:top w:val="single" w:color="auto" w:sz="4" w:space="0"/>
              <w:left w:val="single" w:color="auto" w:sz="4" w:space="0"/>
              <w:bottom w:val="single" w:color="auto" w:sz="4" w:space="0"/>
              <w:right w:val="single" w:color="auto" w:sz="4" w:space="0"/>
            </w:tcBorders>
            <w:vAlign w:val="center"/>
          </w:tcPr>
          <w:p w14:paraId="7B8B8A4B">
            <w:pPr>
              <w:spacing w:before="100" w:beforeAutospacing="1" w:after="100" w:afterAutospacing="1"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投标文件的签署</w:t>
            </w:r>
          </w:p>
        </w:tc>
        <w:tc>
          <w:tcPr>
            <w:tcW w:w="4599" w:type="dxa"/>
            <w:tcBorders>
              <w:top w:val="single" w:color="auto" w:sz="4" w:space="0"/>
              <w:left w:val="single" w:color="auto" w:sz="4" w:space="0"/>
              <w:bottom w:val="single" w:color="auto" w:sz="4" w:space="0"/>
              <w:right w:val="single" w:color="auto" w:sz="4" w:space="0"/>
            </w:tcBorders>
            <w:vAlign w:val="center"/>
          </w:tcPr>
          <w:p w14:paraId="3345588E">
            <w:pPr>
              <w:spacing w:before="100" w:beforeAutospacing="1" w:after="100" w:afterAutospacing="1"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符合第二章“投标人须知”要求</w:t>
            </w:r>
          </w:p>
        </w:tc>
      </w:tr>
      <w:tr w14:paraId="5BB89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725" w:type="dxa"/>
            <w:vMerge w:val="continue"/>
            <w:tcBorders>
              <w:top w:val="single" w:color="auto" w:sz="4" w:space="0"/>
              <w:left w:val="single" w:color="auto" w:sz="4" w:space="0"/>
              <w:bottom w:val="single" w:color="auto" w:sz="4" w:space="0"/>
              <w:right w:val="single" w:color="auto" w:sz="4" w:space="0"/>
            </w:tcBorders>
            <w:vAlign w:val="center"/>
          </w:tcPr>
          <w:p w14:paraId="23463719">
            <w:pPr>
              <w:widowControl/>
              <w:spacing w:line="360" w:lineRule="auto"/>
              <w:jc w:val="left"/>
              <w:rPr>
                <w:rFonts w:hint="eastAsia" w:ascii="宋体" w:hAnsi="宋体" w:eastAsia="宋体" w:cs="宋体"/>
                <w:color w:val="auto"/>
                <w:sz w:val="24"/>
                <w:highlight w:val="none"/>
              </w:rPr>
            </w:pPr>
          </w:p>
        </w:tc>
        <w:tc>
          <w:tcPr>
            <w:tcW w:w="4016" w:type="dxa"/>
            <w:tcBorders>
              <w:top w:val="single" w:color="auto" w:sz="4" w:space="0"/>
              <w:left w:val="single" w:color="auto" w:sz="4" w:space="0"/>
              <w:bottom w:val="single" w:color="auto" w:sz="4" w:space="0"/>
              <w:right w:val="single" w:color="auto" w:sz="4" w:space="0"/>
            </w:tcBorders>
            <w:vAlign w:val="center"/>
          </w:tcPr>
          <w:p w14:paraId="57BC8815">
            <w:pPr>
              <w:spacing w:before="100" w:beforeAutospacing="1" w:after="100" w:afterAutospacing="1"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报价唯一</w:t>
            </w:r>
          </w:p>
        </w:tc>
        <w:tc>
          <w:tcPr>
            <w:tcW w:w="4599" w:type="dxa"/>
            <w:tcBorders>
              <w:top w:val="single" w:color="auto" w:sz="4" w:space="0"/>
              <w:left w:val="single" w:color="auto" w:sz="4" w:space="0"/>
              <w:bottom w:val="single" w:color="auto" w:sz="4" w:space="0"/>
              <w:right w:val="single" w:color="auto" w:sz="4" w:space="0"/>
            </w:tcBorders>
            <w:vAlign w:val="center"/>
          </w:tcPr>
          <w:p w14:paraId="76BD6AD6">
            <w:pPr>
              <w:spacing w:before="100" w:beforeAutospacing="1" w:after="100" w:afterAutospacing="1"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只能有一个报价</w:t>
            </w:r>
          </w:p>
        </w:tc>
      </w:tr>
      <w:tr w14:paraId="6B86F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atLeast"/>
          <w:jc w:val="center"/>
        </w:trPr>
        <w:tc>
          <w:tcPr>
            <w:tcW w:w="725" w:type="dxa"/>
            <w:vMerge w:val="continue"/>
            <w:tcBorders>
              <w:top w:val="single" w:color="auto" w:sz="4" w:space="0"/>
              <w:left w:val="single" w:color="auto" w:sz="4" w:space="0"/>
              <w:bottom w:val="single" w:color="auto" w:sz="4" w:space="0"/>
              <w:right w:val="single" w:color="auto" w:sz="4" w:space="0"/>
            </w:tcBorders>
            <w:vAlign w:val="center"/>
          </w:tcPr>
          <w:p w14:paraId="52D6FF3F">
            <w:pPr>
              <w:widowControl/>
              <w:spacing w:line="360" w:lineRule="auto"/>
              <w:jc w:val="left"/>
              <w:rPr>
                <w:rFonts w:hint="eastAsia" w:ascii="宋体" w:hAnsi="宋体" w:eastAsia="宋体" w:cs="宋体"/>
                <w:color w:val="auto"/>
                <w:sz w:val="24"/>
                <w:highlight w:val="none"/>
              </w:rPr>
            </w:pPr>
          </w:p>
        </w:tc>
        <w:tc>
          <w:tcPr>
            <w:tcW w:w="4016" w:type="dxa"/>
            <w:tcBorders>
              <w:top w:val="single" w:color="auto" w:sz="4" w:space="0"/>
              <w:left w:val="single" w:color="auto" w:sz="4" w:space="0"/>
              <w:bottom w:val="single" w:color="auto" w:sz="4" w:space="0"/>
              <w:right w:val="single" w:color="auto" w:sz="4" w:space="0"/>
            </w:tcBorders>
            <w:vAlign w:val="center"/>
          </w:tcPr>
          <w:p w14:paraId="1D0AF9F1">
            <w:pPr>
              <w:spacing w:before="100" w:beforeAutospacing="1" w:after="100" w:afterAutospacing="1"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法定代表人身份证明或附法定代表人身份证明的授权委托书</w:t>
            </w:r>
          </w:p>
        </w:tc>
        <w:tc>
          <w:tcPr>
            <w:tcW w:w="4599" w:type="dxa"/>
            <w:tcBorders>
              <w:top w:val="single" w:color="auto" w:sz="4" w:space="0"/>
              <w:left w:val="single" w:color="auto" w:sz="4" w:space="0"/>
              <w:bottom w:val="single" w:color="auto" w:sz="4" w:space="0"/>
              <w:right w:val="single" w:color="auto" w:sz="4" w:space="0"/>
            </w:tcBorders>
            <w:vAlign w:val="center"/>
          </w:tcPr>
          <w:p w14:paraId="49235529">
            <w:pPr>
              <w:spacing w:before="100" w:beforeAutospacing="1" w:after="100" w:afterAutospacing="1"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符合投标文件格式要求，内容真实有效</w:t>
            </w:r>
          </w:p>
        </w:tc>
      </w:tr>
    </w:tbl>
    <w:p w14:paraId="33024149">
      <w:pPr>
        <w:rPr>
          <w:rFonts w:hint="eastAsia" w:ascii="宋体" w:hAnsi="宋体" w:eastAsia="宋体" w:cs="宋体"/>
          <w:b/>
          <w:bCs/>
          <w:color w:val="auto"/>
          <w:sz w:val="24"/>
          <w:highlight w:val="none"/>
        </w:rPr>
      </w:pPr>
    </w:p>
    <w:p w14:paraId="788F5AC4">
      <w:pPr>
        <w:rPr>
          <w:rFonts w:hint="eastAsia" w:ascii="宋体" w:hAnsi="宋体" w:eastAsia="宋体" w:cs="宋体"/>
          <w:b/>
          <w:bCs/>
          <w:color w:val="auto"/>
          <w:highlight w:val="none"/>
        </w:rPr>
      </w:pPr>
      <w:r>
        <w:rPr>
          <w:rFonts w:hint="eastAsia" w:ascii="宋体" w:hAnsi="宋体" w:eastAsia="宋体" w:cs="宋体"/>
          <w:b/>
          <w:bCs/>
          <w:color w:val="auto"/>
          <w:sz w:val="24"/>
          <w:highlight w:val="none"/>
        </w:rPr>
        <w:t>2、响应性评审标准</w:t>
      </w:r>
    </w:p>
    <w:tbl>
      <w:tblPr>
        <w:tblStyle w:val="42"/>
        <w:tblW w:w="93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5"/>
        <w:gridCol w:w="2011"/>
        <w:gridCol w:w="6604"/>
      </w:tblGrid>
      <w:tr w14:paraId="4B9F1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5" w:type="dxa"/>
            <w:vMerge w:val="restart"/>
            <w:tcBorders>
              <w:left w:val="single" w:color="auto" w:sz="4" w:space="0"/>
              <w:right w:val="single" w:color="auto" w:sz="4" w:space="0"/>
            </w:tcBorders>
            <w:vAlign w:val="center"/>
          </w:tcPr>
          <w:p w14:paraId="6A0AED4C">
            <w:pPr>
              <w:spacing w:before="100" w:beforeAutospacing="1" w:after="100" w:afterAutospacing="1"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响应性评审标准</w:t>
            </w:r>
          </w:p>
        </w:tc>
        <w:tc>
          <w:tcPr>
            <w:tcW w:w="2011" w:type="dxa"/>
            <w:tcBorders>
              <w:top w:val="single" w:color="auto" w:sz="4" w:space="0"/>
              <w:left w:val="single" w:color="auto" w:sz="4" w:space="0"/>
              <w:bottom w:val="single" w:color="auto" w:sz="4" w:space="0"/>
              <w:right w:val="single" w:color="auto" w:sz="4" w:space="0"/>
            </w:tcBorders>
            <w:vAlign w:val="center"/>
          </w:tcPr>
          <w:p w14:paraId="403E7505">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响应价格</w:t>
            </w:r>
          </w:p>
        </w:tc>
        <w:tc>
          <w:tcPr>
            <w:tcW w:w="6604" w:type="dxa"/>
            <w:tcBorders>
              <w:top w:val="single" w:color="auto" w:sz="4" w:space="0"/>
              <w:left w:val="single" w:color="auto" w:sz="4" w:space="0"/>
              <w:bottom w:val="single" w:color="auto" w:sz="4" w:space="0"/>
              <w:right w:val="single" w:color="auto" w:sz="4" w:space="0"/>
            </w:tcBorders>
            <w:vAlign w:val="center"/>
          </w:tcPr>
          <w:p w14:paraId="371C16AF">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符合第二章“投标人须知”第4项规定</w:t>
            </w:r>
          </w:p>
        </w:tc>
      </w:tr>
      <w:tr w14:paraId="4EF82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5" w:type="dxa"/>
            <w:vMerge w:val="continue"/>
            <w:tcBorders>
              <w:left w:val="single" w:color="auto" w:sz="4" w:space="0"/>
              <w:right w:val="single" w:color="auto" w:sz="4" w:space="0"/>
            </w:tcBorders>
            <w:vAlign w:val="center"/>
          </w:tcPr>
          <w:p w14:paraId="31579693">
            <w:pPr>
              <w:spacing w:before="100" w:beforeAutospacing="1" w:after="100" w:afterAutospacing="1" w:line="360" w:lineRule="auto"/>
              <w:rPr>
                <w:rFonts w:hint="eastAsia" w:ascii="宋体" w:hAnsi="宋体" w:eastAsia="宋体" w:cs="宋体"/>
                <w:color w:val="auto"/>
                <w:sz w:val="24"/>
                <w:highlight w:val="none"/>
              </w:rPr>
            </w:pPr>
          </w:p>
        </w:tc>
        <w:tc>
          <w:tcPr>
            <w:tcW w:w="2011" w:type="dxa"/>
            <w:tcBorders>
              <w:top w:val="single" w:color="auto" w:sz="4" w:space="0"/>
              <w:left w:val="single" w:color="auto" w:sz="4" w:space="0"/>
              <w:bottom w:val="single" w:color="auto" w:sz="4" w:space="0"/>
              <w:right w:val="single" w:color="auto" w:sz="4" w:space="0"/>
            </w:tcBorders>
            <w:vAlign w:val="center"/>
          </w:tcPr>
          <w:p w14:paraId="08386623">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响应内容</w:t>
            </w:r>
          </w:p>
        </w:tc>
        <w:tc>
          <w:tcPr>
            <w:tcW w:w="6604" w:type="dxa"/>
            <w:tcBorders>
              <w:top w:val="single" w:color="auto" w:sz="4" w:space="0"/>
              <w:left w:val="single" w:color="auto" w:sz="4" w:space="0"/>
              <w:bottom w:val="single" w:color="auto" w:sz="4" w:space="0"/>
              <w:right w:val="single" w:color="auto" w:sz="4" w:space="0"/>
            </w:tcBorders>
            <w:vAlign w:val="center"/>
          </w:tcPr>
          <w:p w14:paraId="76B3134B">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符合第二章“投标人须知”第5项规定</w:t>
            </w:r>
          </w:p>
        </w:tc>
      </w:tr>
      <w:tr w14:paraId="68AE1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725" w:type="dxa"/>
            <w:vMerge w:val="continue"/>
            <w:tcBorders>
              <w:left w:val="single" w:color="auto" w:sz="4" w:space="0"/>
              <w:right w:val="single" w:color="auto" w:sz="4" w:space="0"/>
            </w:tcBorders>
            <w:vAlign w:val="center"/>
          </w:tcPr>
          <w:p w14:paraId="21365A8B">
            <w:pPr>
              <w:widowControl/>
              <w:spacing w:line="360" w:lineRule="auto"/>
              <w:jc w:val="left"/>
              <w:rPr>
                <w:rFonts w:hint="eastAsia" w:ascii="宋体" w:hAnsi="宋体" w:eastAsia="宋体" w:cs="宋体"/>
                <w:color w:val="auto"/>
                <w:sz w:val="24"/>
                <w:highlight w:val="none"/>
              </w:rPr>
            </w:pPr>
          </w:p>
        </w:tc>
        <w:tc>
          <w:tcPr>
            <w:tcW w:w="2011" w:type="dxa"/>
            <w:tcBorders>
              <w:top w:val="single" w:color="auto" w:sz="4" w:space="0"/>
              <w:left w:val="single" w:color="auto" w:sz="4" w:space="0"/>
              <w:bottom w:val="single" w:color="auto" w:sz="4" w:space="0"/>
              <w:right w:val="single" w:color="auto" w:sz="4" w:space="0"/>
            </w:tcBorders>
            <w:vAlign w:val="center"/>
          </w:tcPr>
          <w:p w14:paraId="3D3C4822">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合同履行期限</w:t>
            </w:r>
          </w:p>
        </w:tc>
        <w:tc>
          <w:tcPr>
            <w:tcW w:w="6604" w:type="dxa"/>
            <w:tcBorders>
              <w:top w:val="single" w:color="auto" w:sz="4" w:space="0"/>
              <w:left w:val="single" w:color="auto" w:sz="4" w:space="0"/>
              <w:bottom w:val="single" w:color="auto" w:sz="4" w:space="0"/>
              <w:right w:val="single" w:color="auto" w:sz="4" w:space="0"/>
            </w:tcBorders>
            <w:vAlign w:val="center"/>
          </w:tcPr>
          <w:p w14:paraId="4CA81EB0">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符合第二章“投标人须知”第6项规定</w:t>
            </w:r>
          </w:p>
        </w:tc>
      </w:tr>
      <w:tr w14:paraId="6F658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725" w:type="dxa"/>
            <w:vMerge w:val="continue"/>
            <w:tcBorders>
              <w:left w:val="single" w:color="auto" w:sz="4" w:space="0"/>
              <w:right w:val="single" w:color="auto" w:sz="4" w:space="0"/>
            </w:tcBorders>
            <w:vAlign w:val="center"/>
          </w:tcPr>
          <w:p w14:paraId="3DD7704C">
            <w:pPr>
              <w:widowControl/>
              <w:spacing w:line="360" w:lineRule="auto"/>
              <w:jc w:val="left"/>
              <w:rPr>
                <w:rFonts w:hint="eastAsia" w:ascii="宋体" w:hAnsi="宋体" w:eastAsia="宋体" w:cs="宋体"/>
                <w:color w:val="auto"/>
                <w:sz w:val="24"/>
                <w:highlight w:val="none"/>
              </w:rPr>
            </w:pPr>
          </w:p>
        </w:tc>
        <w:tc>
          <w:tcPr>
            <w:tcW w:w="2011" w:type="dxa"/>
            <w:tcBorders>
              <w:top w:val="single" w:color="auto" w:sz="4" w:space="0"/>
              <w:left w:val="single" w:color="auto" w:sz="4" w:space="0"/>
              <w:bottom w:val="single" w:color="auto" w:sz="4" w:space="0"/>
              <w:right w:val="single" w:color="auto" w:sz="4" w:space="0"/>
            </w:tcBorders>
            <w:vAlign w:val="center"/>
          </w:tcPr>
          <w:p w14:paraId="0CFBF9E4">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质量标准</w:t>
            </w:r>
          </w:p>
        </w:tc>
        <w:tc>
          <w:tcPr>
            <w:tcW w:w="6604" w:type="dxa"/>
            <w:tcBorders>
              <w:top w:val="single" w:color="auto" w:sz="4" w:space="0"/>
              <w:left w:val="single" w:color="auto" w:sz="4" w:space="0"/>
              <w:bottom w:val="single" w:color="auto" w:sz="4" w:space="0"/>
              <w:right w:val="single" w:color="auto" w:sz="4" w:space="0"/>
            </w:tcBorders>
            <w:vAlign w:val="center"/>
          </w:tcPr>
          <w:p w14:paraId="39AE50FB">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符合第二章“投标人须知”第</w:t>
            </w:r>
            <w:r>
              <w:rPr>
                <w:rFonts w:hint="eastAsia" w:ascii="宋体" w:hAnsi="宋体" w:eastAsia="宋体" w:cs="宋体"/>
                <w:color w:val="auto"/>
                <w:sz w:val="24"/>
                <w:highlight w:val="none"/>
                <w:lang w:val="en-US" w:eastAsia="zh-CN"/>
              </w:rPr>
              <w:t>8</w:t>
            </w:r>
            <w:r>
              <w:rPr>
                <w:rFonts w:hint="eastAsia" w:ascii="宋体" w:hAnsi="宋体" w:eastAsia="宋体" w:cs="宋体"/>
                <w:color w:val="auto"/>
                <w:sz w:val="24"/>
                <w:highlight w:val="none"/>
              </w:rPr>
              <w:t>项规定</w:t>
            </w:r>
          </w:p>
        </w:tc>
      </w:tr>
      <w:tr w14:paraId="68656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25" w:type="dxa"/>
            <w:vMerge w:val="continue"/>
            <w:tcBorders>
              <w:left w:val="single" w:color="auto" w:sz="4" w:space="0"/>
              <w:right w:val="single" w:color="auto" w:sz="4" w:space="0"/>
            </w:tcBorders>
            <w:vAlign w:val="center"/>
          </w:tcPr>
          <w:p w14:paraId="0023E68F">
            <w:pPr>
              <w:widowControl/>
              <w:spacing w:line="360" w:lineRule="auto"/>
              <w:jc w:val="left"/>
              <w:rPr>
                <w:rFonts w:hint="eastAsia" w:ascii="宋体" w:hAnsi="宋体" w:eastAsia="宋体" w:cs="宋体"/>
                <w:color w:val="auto"/>
                <w:sz w:val="24"/>
                <w:highlight w:val="none"/>
              </w:rPr>
            </w:pPr>
          </w:p>
        </w:tc>
        <w:tc>
          <w:tcPr>
            <w:tcW w:w="2011" w:type="dxa"/>
            <w:tcBorders>
              <w:top w:val="single" w:color="auto" w:sz="4" w:space="0"/>
              <w:left w:val="single" w:color="auto" w:sz="4" w:space="0"/>
              <w:bottom w:val="single" w:color="auto" w:sz="4" w:space="0"/>
              <w:right w:val="single" w:color="auto" w:sz="4" w:space="0"/>
            </w:tcBorders>
            <w:vAlign w:val="center"/>
          </w:tcPr>
          <w:p w14:paraId="7C50B2CB">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其他实质性要求</w:t>
            </w:r>
          </w:p>
        </w:tc>
        <w:tc>
          <w:tcPr>
            <w:tcW w:w="6604" w:type="dxa"/>
            <w:tcBorders>
              <w:top w:val="single" w:color="auto" w:sz="4" w:space="0"/>
              <w:left w:val="single" w:color="auto" w:sz="4" w:space="0"/>
              <w:bottom w:val="single" w:color="auto" w:sz="4" w:space="0"/>
              <w:right w:val="single" w:color="auto" w:sz="4" w:space="0"/>
            </w:tcBorders>
            <w:vAlign w:val="center"/>
          </w:tcPr>
          <w:p w14:paraId="3EE81474">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pacing w:val="-6"/>
                <w:kern w:val="0"/>
                <w:sz w:val="24"/>
                <w:highlight w:val="none"/>
              </w:rPr>
              <w:t>符合招标文件规定的其他实质性要求</w:t>
            </w:r>
          </w:p>
        </w:tc>
      </w:tr>
    </w:tbl>
    <w:p w14:paraId="1639B0E6">
      <w:pPr>
        <w:tabs>
          <w:tab w:val="left" w:pos="3327"/>
        </w:tabs>
        <w:rPr>
          <w:rFonts w:hint="eastAsia" w:ascii="宋体" w:hAnsi="宋体" w:eastAsia="宋体" w:cs="宋体"/>
          <w:color w:val="auto"/>
          <w:highlight w:val="none"/>
        </w:rPr>
      </w:pPr>
      <w:r>
        <w:rPr>
          <w:rFonts w:hint="eastAsia" w:ascii="宋体" w:hAnsi="宋体" w:eastAsia="宋体" w:cs="宋体"/>
          <w:color w:val="auto"/>
          <w:highlight w:val="none"/>
        </w:rPr>
        <w:tab/>
      </w:r>
    </w:p>
    <w:p w14:paraId="3E441230">
      <w:pPr>
        <w:spacing w:line="480" w:lineRule="exact"/>
        <w:rPr>
          <w:rFonts w:hint="eastAsia" w:ascii="宋体" w:hAnsi="宋体" w:eastAsia="宋体" w:cs="宋体"/>
          <w:b/>
          <w:bCs/>
          <w:color w:val="auto"/>
          <w:sz w:val="24"/>
          <w:highlight w:val="none"/>
        </w:rPr>
      </w:pPr>
    </w:p>
    <w:p w14:paraId="547AA2D6">
      <w:pPr>
        <w:spacing w:line="480" w:lineRule="exact"/>
        <w:rPr>
          <w:rFonts w:hint="eastAsia" w:ascii="宋体" w:hAnsi="宋体" w:eastAsia="宋体" w:cs="宋体"/>
          <w:b/>
          <w:bCs/>
          <w:color w:val="auto"/>
          <w:sz w:val="24"/>
          <w:highlight w:val="none"/>
        </w:rPr>
      </w:pPr>
    </w:p>
    <w:p w14:paraId="7FC5DF0E">
      <w:pPr>
        <w:spacing w:line="480" w:lineRule="exac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br w:type="page"/>
      </w:r>
      <w:r>
        <w:rPr>
          <w:rFonts w:hint="eastAsia" w:ascii="宋体" w:hAnsi="宋体" w:eastAsia="宋体" w:cs="宋体"/>
          <w:b/>
          <w:bCs/>
          <w:color w:val="auto"/>
          <w:sz w:val="24"/>
          <w:highlight w:val="none"/>
        </w:rPr>
        <w:t>3、详细评审（综合评分法评分内容）</w:t>
      </w:r>
    </w:p>
    <w:tbl>
      <w:tblPr>
        <w:tblStyle w:val="42"/>
        <w:tblW w:w="9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4"/>
        <w:gridCol w:w="1666"/>
        <w:gridCol w:w="7020"/>
      </w:tblGrid>
      <w:tr w14:paraId="2599E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1094" w:type="dxa"/>
            <w:vAlign w:val="center"/>
          </w:tcPr>
          <w:p w14:paraId="045A15B6">
            <w:pPr>
              <w:pStyle w:val="38"/>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条款</w:t>
            </w:r>
          </w:p>
        </w:tc>
        <w:tc>
          <w:tcPr>
            <w:tcW w:w="1666" w:type="dxa"/>
            <w:vAlign w:val="center"/>
          </w:tcPr>
          <w:p w14:paraId="62F61A50">
            <w:pPr>
              <w:pStyle w:val="38"/>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条款内容</w:t>
            </w:r>
          </w:p>
        </w:tc>
        <w:tc>
          <w:tcPr>
            <w:tcW w:w="7020" w:type="dxa"/>
            <w:vAlign w:val="center"/>
          </w:tcPr>
          <w:p w14:paraId="5CB19F86">
            <w:pPr>
              <w:pStyle w:val="38"/>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编列内容</w:t>
            </w:r>
          </w:p>
        </w:tc>
      </w:tr>
      <w:tr w14:paraId="21833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0" w:hRule="atLeast"/>
        </w:trPr>
        <w:tc>
          <w:tcPr>
            <w:tcW w:w="2760" w:type="dxa"/>
            <w:gridSpan w:val="2"/>
            <w:vAlign w:val="center"/>
          </w:tcPr>
          <w:p w14:paraId="58563491">
            <w:pPr>
              <w:pStyle w:val="38"/>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分值构成</w:t>
            </w:r>
          </w:p>
        </w:tc>
        <w:tc>
          <w:tcPr>
            <w:tcW w:w="7020" w:type="dxa"/>
            <w:vAlign w:val="center"/>
          </w:tcPr>
          <w:p w14:paraId="6E266658">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分值构成F1+F2（满分100分）</w:t>
            </w:r>
          </w:p>
          <w:p w14:paraId="3ACBB8E0">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注：响应文件满足</w:t>
            </w:r>
            <w:r>
              <w:rPr>
                <w:rFonts w:hint="eastAsia" w:ascii="宋体" w:hAnsi="宋体" w:eastAsia="宋体" w:cs="宋体"/>
                <w:color w:val="auto"/>
                <w:sz w:val="24"/>
                <w:highlight w:val="none"/>
                <w:lang w:val="en-US" w:eastAsia="zh-CN"/>
              </w:rPr>
              <w:t>招标</w:t>
            </w:r>
            <w:r>
              <w:rPr>
                <w:rFonts w:hint="eastAsia" w:ascii="宋体" w:hAnsi="宋体" w:eastAsia="宋体" w:cs="宋体"/>
                <w:color w:val="auto"/>
                <w:sz w:val="24"/>
                <w:highlight w:val="none"/>
              </w:rPr>
              <w:t>文件全部实质性要求，且按照评审因素的量化指标评审得分最高的</w:t>
            </w: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为中标候选人的评标方法。</w:t>
            </w:r>
          </w:p>
        </w:tc>
      </w:tr>
      <w:tr w14:paraId="558AE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1094" w:type="dxa"/>
            <w:vAlign w:val="center"/>
          </w:tcPr>
          <w:p w14:paraId="0333604D">
            <w:pPr>
              <w:pStyle w:val="38"/>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报价部分</w:t>
            </w:r>
          </w:p>
          <w:p w14:paraId="1996A4EA">
            <w:pPr>
              <w:pStyle w:val="38"/>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F1</w:t>
            </w:r>
          </w:p>
        </w:tc>
        <w:tc>
          <w:tcPr>
            <w:tcW w:w="1666" w:type="dxa"/>
            <w:vAlign w:val="center"/>
          </w:tcPr>
          <w:p w14:paraId="4202F9E5">
            <w:pPr>
              <w:pStyle w:val="38"/>
              <w:spacing w:before="0" w:beforeAutospacing="0" w:after="0" w:afterAutospacing="0"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投标报价</w:t>
            </w:r>
          </w:p>
          <w:p w14:paraId="12635734">
            <w:pPr>
              <w:pStyle w:val="38"/>
              <w:spacing w:before="0" w:beforeAutospacing="0" w:after="0" w:afterAutospacing="0" w:line="360" w:lineRule="auto"/>
              <w:rPr>
                <w:rFonts w:hint="eastAsia" w:ascii="宋体" w:hAnsi="宋体" w:eastAsia="宋体" w:cs="宋体"/>
                <w:color w:val="auto"/>
                <w:highlight w:val="none"/>
              </w:rPr>
            </w:pPr>
            <w:r>
              <w:rPr>
                <w:rFonts w:hint="eastAsia" w:ascii="宋体" w:hAnsi="宋体" w:eastAsia="宋体" w:cs="宋体"/>
                <w:color w:val="auto"/>
                <w:highlight w:val="none"/>
              </w:rPr>
              <w:t>（满分</w:t>
            </w:r>
            <w:r>
              <w:rPr>
                <w:rFonts w:hint="eastAsia" w:ascii="宋体" w:hAnsi="宋体" w:eastAsia="宋体" w:cs="宋体"/>
                <w:color w:val="auto"/>
                <w:highlight w:val="none"/>
                <w:lang w:val="en-US" w:eastAsia="zh-CN"/>
              </w:rPr>
              <w:t>20</w:t>
            </w:r>
            <w:r>
              <w:rPr>
                <w:rFonts w:hint="eastAsia" w:ascii="宋体" w:hAnsi="宋体" w:eastAsia="宋体" w:cs="宋体"/>
                <w:color w:val="auto"/>
                <w:highlight w:val="none"/>
              </w:rPr>
              <w:t>分）</w:t>
            </w:r>
          </w:p>
        </w:tc>
        <w:tc>
          <w:tcPr>
            <w:tcW w:w="7020" w:type="dxa"/>
            <w:vAlign w:val="center"/>
          </w:tcPr>
          <w:p w14:paraId="3080BDD4">
            <w:pPr>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通过实质性要求审查的报价为有效报价，有效报价方可参与以下公式的计算：</w:t>
            </w:r>
          </w:p>
          <w:p w14:paraId="7D964BB3">
            <w:pPr>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价格分应当采用低价优先法计算，即满足招标文件要求且投标价格最低的投标报价为评标基准价，其价格分为满分。其他投标人的价格分统一按照下列公式计算：</w:t>
            </w:r>
          </w:p>
          <w:p w14:paraId="1CD4CB64">
            <w:pPr>
              <w:spacing w:line="360" w:lineRule="auto"/>
              <w:rPr>
                <w:rFonts w:hint="eastAsia" w:ascii="宋体" w:hAnsi="宋体" w:eastAsia="宋体" w:cs="宋体"/>
                <w:color w:val="auto"/>
                <w:sz w:val="24"/>
                <w:highlight w:val="none"/>
              </w:rPr>
            </w:pPr>
            <w:r>
              <w:rPr>
                <w:rFonts w:hint="eastAsia" w:ascii="宋体" w:hAnsi="宋体" w:eastAsia="宋体" w:cs="宋体"/>
                <w:color w:val="auto"/>
                <w:kern w:val="0"/>
                <w:sz w:val="24"/>
                <w:szCs w:val="24"/>
                <w:highlight w:val="none"/>
              </w:rPr>
              <w:t>F1＝（评标基准价/评审价）×20。</w:t>
            </w:r>
          </w:p>
        </w:tc>
      </w:tr>
      <w:tr w14:paraId="0770C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3588" w:hRule="atLeast"/>
        </w:trPr>
        <w:tc>
          <w:tcPr>
            <w:tcW w:w="1094" w:type="dxa"/>
            <w:vMerge w:val="restart"/>
            <w:shd w:val="clear" w:color="auto" w:fill="FFFFFF"/>
            <w:tcMar>
              <w:top w:w="0" w:type="dxa"/>
              <w:left w:w="108" w:type="dxa"/>
              <w:bottom w:w="0" w:type="dxa"/>
              <w:right w:w="108" w:type="dxa"/>
            </w:tcMar>
            <w:vAlign w:val="center"/>
          </w:tcPr>
          <w:p w14:paraId="63C1249A">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技术部分</w:t>
            </w:r>
          </w:p>
          <w:p w14:paraId="03F76421">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F2</w:t>
            </w:r>
          </w:p>
        </w:tc>
        <w:tc>
          <w:tcPr>
            <w:tcW w:w="1666" w:type="dxa"/>
            <w:shd w:val="clear" w:color="auto" w:fill="FFFFFF"/>
            <w:tcMar>
              <w:top w:w="0" w:type="dxa"/>
              <w:left w:w="108" w:type="dxa"/>
              <w:bottom w:w="0" w:type="dxa"/>
              <w:right w:w="108" w:type="dxa"/>
            </w:tcMar>
            <w:vAlign w:val="center"/>
          </w:tcPr>
          <w:p w14:paraId="5B1F25C9">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技术参数响应评审</w:t>
            </w:r>
          </w:p>
          <w:p w14:paraId="2EFAF301">
            <w:pPr>
              <w:pStyle w:val="15"/>
              <w:spacing w:line="360" w:lineRule="auto"/>
              <w:jc w:val="center"/>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（满分</w:t>
            </w:r>
            <w:r>
              <w:rPr>
                <w:rFonts w:hint="eastAsia" w:ascii="宋体" w:hAnsi="宋体" w:eastAsia="宋体" w:cs="宋体"/>
                <w:b w:val="0"/>
                <w:color w:val="auto"/>
                <w:sz w:val="24"/>
                <w:szCs w:val="24"/>
                <w:highlight w:val="none"/>
                <w:lang w:val="en-US" w:eastAsia="zh-CN"/>
              </w:rPr>
              <w:t>40</w:t>
            </w:r>
            <w:r>
              <w:rPr>
                <w:rFonts w:hint="eastAsia" w:ascii="宋体" w:hAnsi="宋体" w:eastAsia="宋体" w:cs="宋体"/>
                <w:b w:val="0"/>
                <w:color w:val="auto"/>
                <w:sz w:val="24"/>
                <w:szCs w:val="24"/>
                <w:highlight w:val="none"/>
              </w:rPr>
              <w:t>分）</w:t>
            </w:r>
          </w:p>
        </w:tc>
        <w:tc>
          <w:tcPr>
            <w:tcW w:w="7020" w:type="dxa"/>
            <w:shd w:val="clear" w:color="auto" w:fill="FFFFFF"/>
            <w:tcMar>
              <w:top w:w="0" w:type="dxa"/>
              <w:left w:w="108" w:type="dxa"/>
              <w:bottom w:w="0" w:type="dxa"/>
              <w:right w:w="108" w:type="dxa"/>
            </w:tcMar>
            <w:vAlign w:val="center"/>
          </w:tcPr>
          <w:p w14:paraId="2A1133DE">
            <w:pPr>
              <w:spacing w:line="360" w:lineRule="auto"/>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依据</w:t>
            </w:r>
            <w:r>
              <w:rPr>
                <w:rFonts w:hint="eastAsia" w:ascii="宋体" w:hAnsi="宋体" w:eastAsia="宋体" w:cs="宋体"/>
                <w:b/>
                <w:bCs/>
                <w:color w:val="auto"/>
                <w:sz w:val="24"/>
                <w:highlight w:val="none"/>
                <w:lang w:val="en-US" w:eastAsia="zh-CN"/>
              </w:rPr>
              <w:t>投标人的</w:t>
            </w:r>
            <w:r>
              <w:rPr>
                <w:rFonts w:hint="eastAsia" w:ascii="宋体" w:hAnsi="宋体" w:eastAsia="宋体" w:cs="宋体"/>
                <w:b/>
                <w:bCs/>
                <w:color w:val="auto"/>
                <w:sz w:val="24"/>
                <w:highlight w:val="none"/>
              </w:rPr>
              <w:t>投标文件</w:t>
            </w:r>
            <w:r>
              <w:rPr>
                <w:rFonts w:hint="eastAsia" w:ascii="宋体" w:hAnsi="宋体" w:eastAsia="宋体" w:cs="宋体"/>
                <w:b/>
                <w:bCs/>
                <w:color w:val="auto"/>
                <w:sz w:val="24"/>
                <w:highlight w:val="none"/>
                <w:lang w:val="en-US" w:eastAsia="zh-CN"/>
              </w:rPr>
              <w:t>中的</w:t>
            </w:r>
            <w:r>
              <w:rPr>
                <w:rFonts w:hint="eastAsia" w:ascii="宋体" w:hAnsi="宋体" w:eastAsia="宋体" w:cs="宋体"/>
                <w:b/>
                <w:bCs/>
                <w:color w:val="auto"/>
                <w:sz w:val="24"/>
                <w:highlight w:val="none"/>
              </w:rPr>
              <w:t>技术规格偏离表，所投产品主要技术指标、技术参数响应性程度，参数及性能的详细说明书或其它产品相关资料、文字、图片、检测机构出具的检测报告等有效证明材料进行评分：</w:t>
            </w:r>
          </w:p>
          <w:p w14:paraId="015763D3">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（1）所投产品技术参数、规格标注“▲”号</w:t>
            </w:r>
            <w:r>
              <w:rPr>
                <w:rFonts w:hint="eastAsia" w:ascii="宋体" w:hAnsi="宋体" w:eastAsia="宋体" w:cs="宋体"/>
                <w:color w:val="auto"/>
                <w:sz w:val="24"/>
                <w:highlight w:val="none"/>
                <w:lang w:val="en-US" w:eastAsia="zh-CN"/>
              </w:rPr>
              <w:t>为</w:t>
            </w:r>
            <w:r>
              <w:rPr>
                <w:rFonts w:hint="eastAsia" w:ascii="宋体" w:hAnsi="宋体" w:eastAsia="宋体" w:cs="宋体"/>
                <w:color w:val="auto"/>
                <w:sz w:val="24"/>
                <w:highlight w:val="none"/>
              </w:rPr>
              <w:t>重要技术参数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存在一项负偏离的扣</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分，此项满分</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rPr>
              <w:t>分，分数扣完为止。</w:t>
            </w:r>
          </w:p>
          <w:p w14:paraId="69F6D7FA">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）所投产品技术参数、规格标注“</w:t>
            </w:r>
            <w:r>
              <w:rPr>
                <w:rFonts w:hint="eastAsia" w:ascii="宋体" w:hAnsi="宋体" w:eastAsia="宋体" w:cs="宋体"/>
                <w:bCs/>
                <w:color w:val="auto"/>
                <w:szCs w:val="21"/>
                <w:highlight w:val="none"/>
              </w:rPr>
              <w:t>●</w:t>
            </w:r>
            <w:r>
              <w:rPr>
                <w:rFonts w:hint="eastAsia" w:ascii="宋体" w:hAnsi="宋体" w:eastAsia="宋体" w:cs="宋体"/>
                <w:color w:val="auto"/>
                <w:sz w:val="24"/>
                <w:highlight w:val="none"/>
              </w:rPr>
              <w:t>”号为演示或提供第三方检测报告项技术参数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存在一项负偏离的扣</w:t>
            </w:r>
            <w:r>
              <w:rPr>
                <w:rFonts w:hint="eastAsia" w:ascii="宋体" w:hAnsi="宋体" w:eastAsia="宋体" w:cs="宋体"/>
                <w:color w:val="auto"/>
                <w:sz w:val="24"/>
                <w:highlight w:val="none"/>
                <w:lang w:val="en-US" w:eastAsia="zh-CN"/>
              </w:rPr>
              <w:t>2.5</w:t>
            </w:r>
            <w:r>
              <w:rPr>
                <w:rFonts w:hint="eastAsia" w:ascii="宋体" w:hAnsi="宋体" w:eastAsia="宋体" w:cs="宋体"/>
                <w:color w:val="auto"/>
                <w:sz w:val="24"/>
                <w:highlight w:val="none"/>
              </w:rPr>
              <w:t>分，此项满分</w:t>
            </w:r>
            <w:r>
              <w:rPr>
                <w:rFonts w:hint="eastAsia" w:ascii="宋体" w:hAnsi="宋体" w:eastAsia="宋体" w:cs="宋体"/>
                <w:color w:val="auto"/>
                <w:sz w:val="24"/>
                <w:highlight w:val="none"/>
                <w:lang w:val="en-US" w:eastAsia="zh-CN"/>
              </w:rPr>
              <w:t>10</w:t>
            </w:r>
            <w:r>
              <w:rPr>
                <w:rFonts w:hint="eastAsia" w:ascii="宋体" w:hAnsi="宋体" w:eastAsia="宋体" w:cs="宋体"/>
                <w:color w:val="auto"/>
                <w:sz w:val="24"/>
                <w:highlight w:val="none"/>
              </w:rPr>
              <w:t>分，分数扣完为止。</w:t>
            </w:r>
          </w:p>
          <w:p w14:paraId="4CF4C9BE">
            <w:pPr>
              <w:spacing w:line="360" w:lineRule="auto"/>
              <w:rPr>
                <w:rFonts w:hint="eastAsia" w:ascii="宋体" w:hAnsi="宋体" w:eastAsia="宋体" w:cs="宋体"/>
                <w:bCs/>
                <w:color w:val="auto"/>
                <w:sz w:val="24"/>
                <w:highlight w:val="none"/>
              </w:rPr>
            </w:pP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）非标注“▲”“</w:t>
            </w:r>
            <w:r>
              <w:rPr>
                <w:rFonts w:hint="eastAsia" w:ascii="宋体" w:hAnsi="宋体" w:eastAsia="宋体" w:cs="宋体"/>
                <w:bCs/>
                <w:color w:val="auto"/>
                <w:szCs w:val="21"/>
                <w:highlight w:val="none"/>
              </w:rPr>
              <w:t>●</w:t>
            </w:r>
            <w:r>
              <w:rPr>
                <w:rFonts w:hint="eastAsia" w:ascii="宋体" w:hAnsi="宋体" w:eastAsia="宋体" w:cs="宋体"/>
                <w:color w:val="auto"/>
                <w:sz w:val="24"/>
                <w:highlight w:val="none"/>
              </w:rPr>
              <w:t>”号</w:t>
            </w:r>
            <w:r>
              <w:rPr>
                <w:rFonts w:hint="eastAsia" w:ascii="宋体" w:hAnsi="宋体" w:eastAsia="宋体" w:cs="宋体"/>
                <w:color w:val="auto"/>
                <w:sz w:val="24"/>
                <w:highlight w:val="none"/>
                <w:lang w:val="en-US" w:eastAsia="zh-CN"/>
              </w:rPr>
              <w:t>为</w:t>
            </w:r>
            <w:r>
              <w:rPr>
                <w:rFonts w:hint="eastAsia" w:ascii="宋体" w:hAnsi="宋体" w:eastAsia="宋体" w:cs="宋体"/>
                <w:color w:val="auto"/>
                <w:sz w:val="24"/>
                <w:highlight w:val="none"/>
              </w:rPr>
              <w:t>一般技术参数，每出现一项负偏离的扣</w:t>
            </w:r>
            <w:r>
              <w:rPr>
                <w:rFonts w:hint="eastAsia" w:ascii="宋体" w:hAnsi="宋体" w:eastAsia="宋体" w:cs="宋体"/>
                <w:color w:val="auto"/>
                <w:sz w:val="24"/>
                <w:highlight w:val="none"/>
                <w:lang w:val="en-US" w:eastAsia="zh-CN"/>
              </w:rPr>
              <w:t>0.5</w:t>
            </w:r>
            <w:r>
              <w:rPr>
                <w:rFonts w:hint="eastAsia" w:ascii="宋体" w:hAnsi="宋体" w:eastAsia="宋体" w:cs="宋体"/>
                <w:color w:val="auto"/>
                <w:sz w:val="24"/>
                <w:highlight w:val="none"/>
              </w:rPr>
              <w:t>分，此项满分</w:t>
            </w:r>
            <w:r>
              <w:rPr>
                <w:rFonts w:hint="eastAsia" w:ascii="宋体" w:hAnsi="宋体" w:eastAsia="宋体" w:cs="宋体"/>
                <w:color w:val="auto"/>
                <w:sz w:val="24"/>
                <w:highlight w:val="none"/>
                <w:lang w:val="en-US" w:eastAsia="zh-CN"/>
              </w:rPr>
              <w:t>10</w:t>
            </w:r>
            <w:r>
              <w:rPr>
                <w:rFonts w:hint="eastAsia" w:ascii="宋体" w:hAnsi="宋体" w:eastAsia="宋体" w:cs="宋体"/>
                <w:color w:val="auto"/>
                <w:sz w:val="24"/>
                <w:highlight w:val="none"/>
              </w:rPr>
              <w:t>分，分数扣完为止。</w:t>
            </w:r>
          </w:p>
          <w:p w14:paraId="34889767">
            <w:pPr>
              <w:pStyle w:val="15"/>
              <w:spacing w:line="360" w:lineRule="auto"/>
              <w:rPr>
                <w:rFonts w:hint="eastAsia" w:ascii="宋体" w:hAnsi="宋体" w:eastAsia="宋体" w:cs="宋体"/>
                <w:b w:val="0"/>
                <w:color w:val="auto"/>
                <w:sz w:val="24"/>
                <w:szCs w:val="24"/>
                <w:highlight w:val="none"/>
              </w:rPr>
            </w:pPr>
            <w:r>
              <w:rPr>
                <w:rFonts w:hint="eastAsia" w:ascii="宋体" w:hAnsi="宋体" w:eastAsia="宋体" w:cs="宋体"/>
                <w:bCs/>
                <w:color w:val="auto"/>
                <w:sz w:val="24"/>
                <w:szCs w:val="24"/>
                <w:highlight w:val="none"/>
              </w:rPr>
              <w:t>注：投标人按招标文件中技术偏离表的技术参数要求逐条应答，所提供相关证明材料必须真实，特别对有具体参数要求的指标，投标人必须提供所投设备产品的具体数值，若投标文件中技术支持资料参数与技术条款偏离表应答不符或无支持资料应答的，评标委员会在评审时可以视为不响应该条技术条款的规定</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w:t>
            </w:r>
          </w:p>
        </w:tc>
      </w:tr>
      <w:tr w14:paraId="36566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868" w:hRule="atLeast"/>
        </w:trPr>
        <w:tc>
          <w:tcPr>
            <w:tcW w:w="1094" w:type="dxa"/>
            <w:vMerge w:val="continue"/>
            <w:shd w:val="clear" w:color="auto" w:fill="FFFFFF"/>
            <w:tcMar>
              <w:top w:w="0" w:type="dxa"/>
              <w:left w:w="108" w:type="dxa"/>
              <w:bottom w:w="0" w:type="dxa"/>
              <w:right w:w="108" w:type="dxa"/>
            </w:tcMar>
            <w:vAlign w:val="center"/>
          </w:tcPr>
          <w:p w14:paraId="5A7F514F">
            <w:pPr>
              <w:spacing w:line="360" w:lineRule="auto"/>
              <w:jc w:val="center"/>
              <w:rPr>
                <w:rFonts w:hint="eastAsia" w:ascii="宋体" w:hAnsi="宋体" w:eastAsia="宋体" w:cs="宋体"/>
                <w:color w:val="auto"/>
                <w:sz w:val="24"/>
                <w:highlight w:val="none"/>
              </w:rPr>
            </w:pPr>
          </w:p>
        </w:tc>
        <w:tc>
          <w:tcPr>
            <w:tcW w:w="1666" w:type="dxa"/>
            <w:shd w:val="clear" w:color="auto" w:fill="FFFFFF"/>
            <w:tcMar>
              <w:top w:w="0" w:type="dxa"/>
              <w:left w:w="108" w:type="dxa"/>
              <w:bottom w:w="0" w:type="dxa"/>
              <w:right w:w="108" w:type="dxa"/>
            </w:tcMar>
            <w:vAlign w:val="center"/>
          </w:tcPr>
          <w:p w14:paraId="4AA11CDB">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pacing w:val="-2"/>
                <w:sz w:val="24"/>
                <w:highlight w:val="none"/>
              </w:rPr>
              <w:t>项目</w:t>
            </w:r>
            <w:r>
              <w:rPr>
                <w:rFonts w:hint="eastAsia" w:ascii="宋体" w:hAnsi="宋体" w:eastAsia="宋体" w:cs="宋体"/>
                <w:color w:val="auto"/>
                <w:sz w:val="24"/>
                <w:highlight w:val="none"/>
              </w:rPr>
              <w:t>实施方案评审</w:t>
            </w:r>
          </w:p>
          <w:p w14:paraId="31765EB7">
            <w:pPr>
              <w:pStyle w:val="15"/>
              <w:spacing w:line="360" w:lineRule="auto"/>
              <w:jc w:val="center"/>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（满分</w:t>
            </w:r>
            <w:r>
              <w:rPr>
                <w:rFonts w:hint="eastAsia" w:ascii="宋体" w:hAnsi="宋体" w:eastAsia="宋体" w:cs="宋体"/>
                <w:b w:val="0"/>
                <w:color w:val="auto"/>
                <w:sz w:val="24"/>
                <w:szCs w:val="24"/>
                <w:highlight w:val="none"/>
                <w:lang w:val="en-US" w:eastAsia="zh-CN"/>
              </w:rPr>
              <w:t>24</w:t>
            </w:r>
            <w:r>
              <w:rPr>
                <w:rFonts w:hint="eastAsia" w:ascii="宋体" w:hAnsi="宋体" w:eastAsia="宋体" w:cs="宋体"/>
                <w:b w:val="0"/>
                <w:color w:val="auto"/>
                <w:sz w:val="24"/>
                <w:szCs w:val="24"/>
                <w:highlight w:val="none"/>
              </w:rPr>
              <w:t>分）</w:t>
            </w:r>
          </w:p>
        </w:tc>
        <w:tc>
          <w:tcPr>
            <w:tcW w:w="7020" w:type="dxa"/>
            <w:shd w:val="clear" w:color="auto" w:fill="FFFFFF"/>
            <w:tcMar>
              <w:top w:w="0" w:type="dxa"/>
              <w:left w:w="108" w:type="dxa"/>
              <w:bottom w:w="0" w:type="dxa"/>
              <w:right w:w="108" w:type="dxa"/>
            </w:tcMar>
            <w:vAlign w:val="center"/>
          </w:tcPr>
          <w:p w14:paraId="699DBE4D">
            <w:pPr>
              <w:adjustRightIn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根据投标人提供的</w:t>
            </w:r>
            <w:r>
              <w:rPr>
                <w:rFonts w:hint="eastAsia" w:ascii="宋体" w:hAnsi="宋体" w:eastAsia="宋体" w:cs="宋体"/>
                <w:color w:val="auto"/>
                <w:spacing w:val="-2"/>
                <w:sz w:val="24"/>
                <w:highlight w:val="none"/>
              </w:rPr>
              <w:t>项目</w:t>
            </w:r>
            <w:r>
              <w:rPr>
                <w:rFonts w:hint="eastAsia" w:ascii="宋体" w:hAnsi="宋体" w:eastAsia="宋体" w:cs="宋体"/>
                <w:color w:val="auto"/>
                <w:sz w:val="24"/>
                <w:highlight w:val="none"/>
              </w:rPr>
              <w:t>实施方案进行评审，满分</w:t>
            </w:r>
            <w:r>
              <w:rPr>
                <w:rFonts w:hint="eastAsia" w:ascii="宋体" w:hAnsi="宋体" w:eastAsia="宋体" w:cs="宋体"/>
                <w:color w:val="auto"/>
                <w:sz w:val="24"/>
                <w:highlight w:val="none"/>
                <w:lang w:val="en-US" w:eastAsia="zh-CN"/>
              </w:rPr>
              <w:t>24</w:t>
            </w:r>
            <w:r>
              <w:rPr>
                <w:rFonts w:hint="eastAsia" w:ascii="宋体" w:hAnsi="宋体" w:eastAsia="宋体" w:cs="宋体"/>
                <w:color w:val="auto"/>
                <w:sz w:val="24"/>
                <w:highlight w:val="none"/>
              </w:rPr>
              <w:t>分，包括（但不限于）以下内容：</w:t>
            </w:r>
          </w:p>
          <w:p w14:paraId="5B4CA041">
            <w:pPr>
              <w:adjustRightIn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①</w:t>
            </w:r>
            <w:r>
              <w:rPr>
                <w:rFonts w:hint="eastAsia" w:ascii="宋体" w:hAnsi="宋体" w:eastAsia="宋体" w:cs="宋体"/>
                <w:color w:val="auto"/>
                <w:kern w:val="0"/>
                <w:sz w:val="24"/>
                <w:highlight w:val="none"/>
                <w:lang w:bidi="ar"/>
              </w:rPr>
              <w:t>项目需求与理解</w:t>
            </w:r>
            <w:r>
              <w:rPr>
                <w:rFonts w:hint="eastAsia" w:ascii="宋体" w:hAnsi="宋体" w:eastAsia="宋体" w:cs="宋体"/>
                <w:color w:val="auto"/>
                <w:sz w:val="24"/>
                <w:highlight w:val="none"/>
              </w:rPr>
              <w:t>；</w:t>
            </w:r>
          </w:p>
          <w:p w14:paraId="3375A282">
            <w:pPr>
              <w:adjustRightIn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②</w:t>
            </w:r>
            <w:r>
              <w:rPr>
                <w:rFonts w:hint="eastAsia" w:ascii="宋体" w:hAnsi="宋体" w:eastAsia="宋体" w:cs="宋体"/>
                <w:color w:val="auto"/>
                <w:sz w:val="24"/>
                <w:highlight w:val="none"/>
                <w:lang w:val="en-US" w:eastAsia="zh-CN"/>
              </w:rPr>
              <w:t>时间进度计划安排</w:t>
            </w:r>
            <w:r>
              <w:rPr>
                <w:rFonts w:hint="eastAsia" w:ascii="宋体" w:hAnsi="宋体" w:eastAsia="宋体" w:cs="宋体"/>
                <w:color w:val="auto"/>
                <w:sz w:val="24"/>
                <w:highlight w:val="none"/>
              </w:rPr>
              <w:t>；</w:t>
            </w:r>
          </w:p>
          <w:p w14:paraId="046A2124">
            <w:pPr>
              <w:adjustRightIn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③</w:t>
            </w:r>
            <w:r>
              <w:rPr>
                <w:rFonts w:hint="eastAsia" w:ascii="宋体" w:hAnsi="宋体" w:eastAsia="宋体" w:cs="宋体"/>
                <w:color w:val="auto"/>
                <w:sz w:val="24"/>
                <w:szCs w:val="24"/>
                <w:highlight w:val="none"/>
              </w:rPr>
              <w:t>系统调试及试运行方案</w:t>
            </w:r>
            <w:r>
              <w:rPr>
                <w:rFonts w:hint="eastAsia" w:ascii="宋体" w:hAnsi="宋体" w:eastAsia="宋体" w:cs="宋体"/>
                <w:color w:val="auto"/>
                <w:sz w:val="24"/>
                <w:highlight w:val="none"/>
              </w:rPr>
              <w:t>；</w:t>
            </w:r>
          </w:p>
          <w:p w14:paraId="12B39CC8">
            <w:pPr>
              <w:adjustRightInd w:val="0"/>
              <w:spacing w:line="360" w:lineRule="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④培训方案</w:t>
            </w:r>
            <w:r>
              <w:rPr>
                <w:rFonts w:hint="eastAsia" w:ascii="宋体" w:hAnsi="宋体" w:eastAsia="宋体" w:cs="宋体"/>
                <w:color w:val="auto"/>
                <w:sz w:val="24"/>
                <w:highlight w:val="none"/>
                <w:lang w:val="en-US" w:eastAsia="zh-CN"/>
              </w:rPr>
              <w:t>；</w:t>
            </w:r>
          </w:p>
          <w:p w14:paraId="4B2F6C79">
            <w:pPr>
              <w:adjustRightInd w:val="0"/>
              <w:spacing w:line="360" w:lineRule="auto"/>
              <w:rPr>
                <w:rFonts w:hint="eastAsia" w:ascii="宋体" w:hAnsi="宋体" w:eastAsia="宋体" w:cs="宋体"/>
                <w:color w:val="auto"/>
                <w:kern w:val="0"/>
                <w:sz w:val="24"/>
                <w:highlight w:val="none"/>
                <w:lang w:eastAsia="zh-CN" w:bidi="ar"/>
              </w:rPr>
            </w:pPr>
            <w:r>
              <w:rPr>
                <w:rFonts w:hint="eastAsia" w:ascii="宋体" w:hAnsi="宋体" w:eastAsia="宋体" w:cs="宋体"/>
                <w:color w:val="auto"/>
                <w:kern w:val="0"/>
                <w:sz w:val="24"/>
                <w:highlight w:val="none"/>
                <w:lang w:val="en-US" w:eastAsia="zh-CN" w:bidi="ar"/>
              </w:rPr>
              <w:t>⑤</w:t>
            </w:r>
            <w:r>
              <w:rPr>
                <w:rFonts w:hint="eastAsia" w:ascii="宋体" w:hAnsi="宋体" w:eastAsia="宋体" w:cs="宋体"/>
                <w:color w:val="auto"/>
                <w:kern w:val="0"/>
                <w:sz w:val="24"/>
                <w:highlight w:val="none"/>
                <w:lang w:bidi="ar"/>
              </w:rPr>
              <w:t>系统设计方案</w:t>
            </w:r>
            <w:r>
              <w:rPr>
                <w:rFonts w:hint="eastAsia" w:ascii="宋体" w:hAnsi="宋体" w:eastAsia="宋体" w:cs="宋体"/>
                <w:color w:val="auto"/>
                <w:kern w:val="0"/>
                <w:sz w:val="24"/>
                <w:highlight w:val="none"/>
                <w:lang w:eastAsia="zh-CN" w:bidi="ar"/>
              </w:rPr>
              <w:t>；</w:t>
            </w:r>
          </w:p>
          <w:p w14:paraId="5B970EC7">
            <w:pPr>
              <w:adjustRightInd w:val="0"/>
              <w:spacing w:line="360" w:lineRule="auto"/>
              <w:rPr>
                <w:rFonts w:hint="eastAsia" w:ascii="宋体" w:hAnsi="宋体" w:eastAsia="宋体" w:cs="宋体"/>
                <w:color w:val="auto"/>
                <w:kern w:val="0"/>
                <w:sz w:val="24"/>
                <w:highlight w:val="none"/>
                <w:lang w:eastAsia="zh-CN" w:bidi="ar"/>
              </w:rPr>
            </w:pPr>
            <w:r>
              <w:rPr>
                <w:rFonts w:hint="eastAsia" w:ascii="宋体" w:hAnsi="宋体" w:eastAsia="宋体" w:cs="宋体"/>
                <w:color w:val="auto"/>
                <w:kern w:val="0"/>
                <w:sz w:val="24"/>
                <w:highlight w:val="none"/>
                <w:lang w:eastAsia="zh-CN" w:bidi="ar"/>
              </w:rPr>
              <w:t>⑥提供《数据接口对接方案》，并承诺免费开放API接口文档，确保与学校放开的网站、智慧校园等接口兼容性。</w:t>
            </w:r>
          </w:p>
          <w:p w14:paraId="5D8AD0BC">
            <w:pPr>
              <w:adjustRightIn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注：</w:t>
            </w:r>
          </w:p>
          <w:p w14:paraId="4C9A0447">
            <w:pPr>
              <w:adjustRightIn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1.评标委员会根据投标人投标文件情况对招标文件响应程度赋分：所有内容表述完整、针对性强，功能逻辑清晰、合理可行，完全满足采购需求得</w:t>
            </w:r>
            <w:r>
              <w:rPr>
                <w:rFonts w:hint="eastAsia" w:ascii="宋体" w:hAnsi="宋体" w:eastAsia="宋体" w:cs="宋体"/>
                <w:color w:val="auto"/>
                <w:sz w:val="24"/>
                <w:highlight w:val="none"/>
                <w:lang w:val="en-US" w:eastAsia="zh-CN"/>
              </w:rPr>
              <w:t>24</w:t>
            </w:r>
            <w:r>
              <w:rPr>
                <w:rFonts w:hint="eastAsia" w:ascii="宋体" w:hAnsi="宋体" w:eastAsia="宋体" w:cs="宋体"/>
                <w:color w:val="auto"/>
                <w:sz w:val="24"/>
                <w:highlight w:val="none"/>
              </w:rPr>
              <w:t>分；</w:t>
            </w:r>
          </w:p>
          <w:p w14:paraId="0DD87301">
            <w:pPr>
              <w:adjustRightIn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2.以上“①、②、③、④</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⑤、</w:t>
            </w:r>
            <w:r>
              <w:rPr>
                <w:rFonts w:hint="eastAsia" w:ascii="宋体" w:hAnsi="宋体" w:eastAsia="宋体" w:cs="宋体"/>
                <w:color w:val="auto"/>
                <w:kern w:val="0"/>
                <w:sz w:val="24"/>
                <w:highlight w:val="none"/>
                <w:lang w:eastAsia="zh-CN" w:bidi="ar"/>
              </w:rPr>
              <w:t>⑥</w:t>
            </w:r>
            <w:r>
              <w:rPr>
                <w:rFonts w:hint="eastAsia" w:ascii="宋体" w:hAnsi="宋体" w:eastAsia="宋体" w:cs="宋体"/>
                <w:color w:val="auto"/>
                <w:sz w:val="24"/>
                <w:highlight w:val="none"/>
              </w:rPr>
              <w:t>”项内容，每缺少一项内容扣</w:t>
            </w: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rPr>
              <w:t>分；</w:t>
            </w:r>
          </w:p>
          <w:p w14:paraId="20791AA0">
            <w:pPr>
              <w:adjustRightIn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3.以上任意一项内容中每一处描述有缺陷的扣2分，分数扣完为止。以上内容涉及到的描述缺陷是指：内容不全面、不清晰，无针对性或针对性差、无可行性或可行性差。</w:t>
            </w:r>
          </w:p>
          <w:p w14:paraId="3875CF15">
            <w:pPr>
              <w:pStyle w:val="14"/>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未提供项目实施方案的不得分。</w:t>
            </w:r>
          </w:p>
        </w:tc>
      </w:tr>
      <w:tr w14:paraId="5BD16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1004" w:hRule="atLeast"/>
        </w:trPr>
        <w:tc>
          <w:tcPr>
            <w:tcW w:w="1094" w:type="dxa"/>
            <w:vMerge w:val="continue"/>
            <w:shd w:val="clear" w:color="auto" w:fill="FFFFFF"/>
            <w:tcMar>
              <w:top w:w="0" w:type="dxa"/>
              <w:left w:w="108" w:type="dxa"/>
              <w:bottom w:w="0" w:type="dxa"/>
              <w:right w:w="108" w:type="dxa"/>
            </w:tcMar>
            <w:vAlign w:val="center"/>
          </w:tcPr>
          <w:p w14:paraId="761942D6">
            <w:pPr>
              <w:spacing w:line="360" w:lineRule="auto"/>
              <w:jc w:val="center"/>
              <w:rPr>
                <w:rFonts w:hint="eastAsia" w:ascii="宋体" w:hAnsi="宋体" w:eastAsia="宋体" w:cs="宋体"/>
                <w:color w:val="auto"/>
                <w:sz w:val="24"/>
                <w:highlight w:val="none"/>
              </w:rPr>
            </w:pPr>
          </w:p>
        </w:tc>
        <w:tc>
          <w:tcPr>
            <w:tcW w:w="1666" w:type="dxa"/>
            <w:shd w:val="clear" w:color="auto" w:fill="FFFFFF"/>
            <w:tcMar>
              <w:top w:w="0" w:type="dxa"/>
              <w:left w:w="108" w:type="dxa"/>
              <w:bottom w:w="0" w:type="dxa"/>
              <w:right w:w="108" w:type="dxa"/>
            </w:tcMar>
            <w:vAlign w:val="center"/>
          </w:tcPr>
          <w:p w14:paraId="577D0B4D">
            <w:pPr>
              <w:pStyle w:val="15"/>
              <w:spacing w:line="360" w:lineRule="auto"/>
              <w:jc w:val="center"/>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售后服务响应时间、售后服务承诺及定期检查与维护保养计划评审</w:t>
            </w:r>
          </w:p>
          <w:p w14:paraId="0A6208ED">
            <w:pPr>
              <w:pStyle w:val="15"/>
              <w:spacing w:line="360" w:lineRule="auto"/>
              <w:jc w:val="center"/>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（满分</w:t>
            </w:r>
            <w:r>
              <w:rPr>
                <w:rFonts w:hint="eastAsia" w:ascii="宋体" w:hAnsi="宋体" w:eastAsia="宋体" w:cs="宋体"/>
                <w:b w:val="0"/>
                <w:color w:val="auto"/>
                <w:sz w:val="24"/>
                <w:szCs w:val="24"/>
                <w:highlight w:val="none"/>
                <w:lang w:val="en-US" w:eastAsia="zh-CN"/>
              </w:rPr>
              <w:t>8</w:t>
            </w:r>
            <w:r>
              <w:rPr>
                <w:rFonts w:hint="eastAsia" w:ascii="宋体" w:hAnsi="宋体" w:eastAsia="宋体" w:cs="宋体"/>
                <w:b w:val="0"/>
                <w:color w:val="auto"/>
                <w:sz w:val="24"/>
                <w:szCs w:val="24"/>
                <w:highlight w:val="none"/>
              </w:rPr>
              <w:t>分）</w:t>
            </w:r>
          </w:p>
        </w:tc>
        <w:tc>
          <w:tcPr>
            <w:tcW w:w="7020" w:type="dxa"/>
            <w:shd w:val="clear" w:color="auto" w:fill="FFFFFF"/>
            <w:tcMar>
              <w:top w:w="0" w:type="dxa"/>
              <w:left w:w="108" w:type="dxa"/>
              <w:bottom w:w="0" w:type="dxa"/>
              <w:right w:w="108" w:type="dxa"/>
            </w:tcMar>
            <w:vAlign w:val="center"/>
          </w:tcPr>
          <w:p w14:paraId="39B235F6">
            <w:pPr>
              <w:adjustRightIn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根据投标人提供的售后服务响应时间、售后服务承诺及定期检查与维护保养计划进行评审，满分</w:t>
            </w:r>
            <w:r>
              <w:rPr>
                <w:rFonts w:hint="eastAsia" w:ascii="宋体" w:hAnsi="宋体" w:eastAsia="宋体" w:cs="宋体"/>
                <w:color w:val="auto"/>
                <w:sz w:val="24"/>
                <w:highlight w:val="none"/>
                <w:lang w:val="en-US" w:eastAsia="zh-CN"/>
              </w:rPr>
              <w:t>8</w:t>
            </w:r>
            <w:r>
              <w:rPr>
                <w:rFonts w:hint="eastAsia" w:ascii="宋体" w:hAnsi="宋体" w:eastAsia="宋体" w:cs="宋体"/>
                <w:color w:val="auto"/>
                <w:sz w:val="24"/>
                <w:highlight w:val="none"/>
              </w:rPr>
              <w:t>分，包括（但不限于）以下内容：</w:t>
            </w:r>
          </w:p>
          <w:p w14:paraId="32D32249">
            <w:pPr>
              <w:adjustRightIn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①设备的运行情况制定预防和常用解决方案</w:t>
            </w:r>
          </w:p>
          <w:p w14:paraId="1761B652">
            <w:pPr>
              <w:adjustRightIn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②应急故障响应处理时间；</w:t>
            </w:r>
          </w:p>
          <w:p w14:paraId="787EE5BB">
            <w:pPr>
              <w:adjustRightIn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③售后运维服务方案；</w:t>
            </w:r>
          </w:p>
          <w:p w14:paraId="61FD2CE0">
            <w:pPr>
              <w:adjustRightIn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④违约承诺及惩罚措施；</w:t>
            </w:r>
          </w:p>
          <w:p w14:paraId="3CB5320A">
            <w:pPr>
              <w:pStyle w:val="15"/>
              <w:spacing w:line="36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注：</w:t>
            </w:r>
          </w:p>
          <w:p w14:paraId="0AD114BF">
            <w:pPr>
              <w:pStyle w:val="15"/>
              <w:spacing w:line="36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1.评标委员会根据投标人投标文件情况对招标文件响应程度赋分：所有内容表述完整、针对性强，功能逻辑清晰、合理可行，完全满足采购需求得</w:t>
            </w:r>
            <w:r>
              <w:rPr>
                <w:rFonts w:hint="eastAsia" w:ascii="宋体" w:hAnsi="宋体" w:eastAsia="宋体" w:cs="宋体"/>
                <w:b w:val="0"/>
                <w:bCs/>
                <w:color w:val="auto"/>
                <w:sz w:val="24"/>
                <w:szCs w:val="24"/>
                <w:highlight w:val="none"/>
                <w:lang w:val="en-US" w:eastAsia="zh-CN"/>
              </w:rPr>
              <w:t>8</w:t>
            </w:r>
            <w:r>
              <w:rPr>
                <w:rFonts w:hint="eastAsia" w:ascii="宋体" w:hAnsi="宋体" w:eastAsia="宋体" w:cs="宋体"/>
                <w:b w:val="0"/>
                <w:bCs/>
                <w:color w:val="auto"/>
                <w:sz w:val="24"/>
                <w:szCs w:val="24"/>
                <w:highlight w:val="none"/>
              </w:rPr>
              <w:t>分；</w:t>
            </w:r>
          </w:p>
          <w:p w14:paraId="2DF85829">
            <w:pPr>
              <w:pStyle w:val="15"/>
              <w:spacing w:line="36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2.以上“①、②”项内容，每缺少一项内容扣</w:t>
            </w:r>
            <w:r>
              <w:rPr>
                <w:rFonts w:hint="eastAsia" w:ascii="宋体" w:hAnsi="宋体" w:eastAsia="宋体" w:cs="宋体"/>
                <w:b w:val="0"/>
                <w:bCs/>
                <w:color w:val="auto"/>
                <w:sz w:val="24"/>
                <w:szCs w:val="24"/>
                <w:highlight w:val="none"/>
                <w:lang w:val="en-US" w:eastAsia="zh-CN"/>
              </w:rPr>
              <w:t>2</w:t>
            </w:r>
            <w:r>
              <w:rPr>
                <w:rFonts w:hint="eastAsia" w:ascii="宋体" w:hAnsi="宋体" w:eastAsia="宋体" w:cs="宋体"/>
                <w:b w:val="0"/>
                <w:bCs/>
                <w:color w:val="auto"/>
                <w:sz w:val="24"/>
                <w:szCs w:val="24"/>
                <w:highlight w:val="none"/>
              </w:rPr>
              <w:t>分；</w:t>
            </w:r>
          </w:p>
          <w:p w14:paraId="51C818A9">
            <w:pPr>
              <w:pStyle w:val="15"/>
              <w:spacing w:line="36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3.以上任意一项内容中每一处描述有缺陷的扣</w:t>
            </w:r>
            <w:r>
              <w:rPr>
                <w:rFonts w:hint="eastAsia" w:ascii="宋体" w:hAnsi="宋体" w:eastAsia="宋体" w:cs="宋体"/>
                <w:b w:val="0"/>
                <w:bCs/>
                <w:color w:val="auto"/>
                <w:sz w:val="24"/>
                <w:szCs w:val="24"/>
                <w:highlight w:val="none"/>
                <w:lang w:val="en-US" w:eastAsia="zh-CN"/>
              </w:rPr>
              <w:t>1</w:t>
            </w:r>
            <w:r>
              <w:rPr>
                <w:rFonts w:hint="eastAsia" w:ascii="宋体" w:hAnsi="宋体" w:eastAsia="宋体" w:cs="宋体"/>
                <w:b w:val="0"/>
                <w:bCs/>
                <w:color w:val="auto"/>
                <w:sz w:val="24"/>
                <w:szCs w:val="24"/>
                <w:highlight w:val="none"/>
              </w:rPr>
              <w:t>分，分数扣完为止。以上内容涉及到的描述缺陷是指：内容不全面、不清晰，无针对性或针对性差、无可行性或可行性差。</w:t>
            </w:r>
          </w:p>
          <w:p w14:paraId="5515C029">
            <w:pPr>
              <w:kinsoku w:val="0"/>
              <w:overflowPunct w:val="0"/>
              <w:autoSpaceDE w:val="0"/>
              <w:autoSpaceDN w:val="0"/>
              <w:spacing w:line="360" w:lineRule="auto"/>
              <w:outlineLvl w:val="2"/>
              <w:rPr>
                <w:rFonts w:hint="eastAsia" w:ascii="宋体" w:hAnsi="宋体" w:eastAsia="宋体" w:cs="宋体"/>
                <w:b w:val="0"/>
                <w:bCs/>
                <w:color w:val="auto"/>
                <w:sz w:val="24"/>
                <w:highlight w:val="none"/>
              </w:rPr>
            </w:pPr>
            <w:r>
              <w:rPr>
                <w:rFonts w:hint="eastAsia" w:ascii="宋体" w:hAnsi="宋体" w:eastAsia="宋体" w:cs="宋体"/>
                <w:b w:val="0"/>
                <w:bCs/>
                <w:color w:val="auto"/>
                <w:sz w:val="24"/>
                <w:szCs w:val="24"/>
                <w:highlight w:val="none"/>
              </w:rPr>
              <w:t>未提供</w:t>
            </w:r>
            <w:r>
              <w:rPr>
                <w:rFonts w:hint="eastAsia" w:ascii="宋体" w:hAnsi="宋体" w:eastAsia="宋体" w:cs="宋体"/>
                <w:b w:val="0"/>
                <w:color w:val="auto"/>
                <w:sz w:val="24"/>
                <w:szCs w:val="24"/>
                <w:highlight w:val="none"/>
              </w:rPr>
              <w:t>售后服务响应时间、售后服务承诺及定期检查与维护保养计划</w:t>
            </w:r>
            <w:r>
              <w:rPr>
                <w:rFonts w:hint="eastAsia" w:ascii="宋体" w:hAnsi="宋体" w:eastAsia="宋体" w:cs="宋体"/>
                <w:b w:val="0"/>
                <w:bCs/>
                <w:color w:val="auto"/>
                <w:sz w:val="24"/>
                <w:szCs w:val="24"/>
                <w:highlight w:val="none"/>
              </w:rPr>
              <w:t>的不得分。</w:t>
            </w:r>
          </w:p>
        </w:tc>
      </w:tr>
      <w:tr w14:paraId="5DF2E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664" w:hRule="atLeast"/>
        </w:trPr>
        <w:tc>
          <w:tcPr>
            <w:tcW w:w="1094" w:type="dxa"/>
            <w:vMerge w:val="continue"/>
            <w:shd w:val="clear" w:color="auto" w:fill="FFFFFF"/>
            <w:tcMar>
              <w:top w:w="0" w:type="dxa"/>
              <w:left w:w="108" w:type="dxa"/>
              <w:bottom w:w="0" w:type="dxa"/>
              <w:right w:w="108" w:type="dxa"/>
            </w:tcMar>
            <w:vAlign w:val="center"/>
          </w:tcPr>
          <w:p w14:paraId="5FCBB7E7">
            <w:pPr>
              <w:spacing w:line="360" w:lineRule="auto"/>
              <w:jc w:val="center"/>
              <w:rPr>
                <w:rFonts w:hint="eastAsia" w:ascii="宋体" w:hAnsi="宋体" w:eastAsia="宋体" w:cs="宋体"/>
                <w:color w:val="auto"/>
                <w:sz w:val="24"/>
                <w:highlight w:val="none"/>
              </w:rPr>
            </w:pPr>
          </w:p>
        </w:tc>
        <w:tc>
          <w:tcPr>
            <w:tcW w:w="1666" w:type="dxa"/>
            <w:shd w:val="clear" w:color="auto" w:fill="FFFFFF"/>
            <w:tcMar>
              <w:top w:w="0" w:type="dxa"/>
              <w:left w:w="108" w:type="dxa"/>
              <w:bottom w:w="0" w:type="dxa"/>
              <w:right w:w="108" w:type="dxa"/>
            </w:tcMar>
            <w:vAlign w:val="center"/>
          </w:tcPr>
          <w:p w14:paraId="05508FE8">
            <w:pPr>
              <w:pStyle w:val="15"/>
              <w:spacing w:line="360" w:lineRule="auto"/>
              <w:jc w:val="center"/>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lang w:val="en-US" w:eastAsia="zh-CN"/>
              </w:rPr>
              <w:t>现场演示视频评审（满分5分）</w:t>
            </w:r>
          </w:p>
        </w:tc>
        <w:tc>
          <w:tcPr>
            <w:tcW w:w="7020" w:type="dxa"/>
            <w:shd w:val="clear" w:color="auto" w:fill="FFFFFF"/>
            <w:tcMar>
              <w:top w:w="0" w:type="dxa"/>
              <w:left w:w="108" w:type="dxa"/>
              <w:bottom w:w="0" w:type="dxa"/>
              <w:right w:w="108" w:type="dxa"/>
            </w:tcMar>
            <w:vAlign w:val="center"/>
          </w:tcPr>
          <w:p w14:paraId="44BBFB79">
            <w:pPr>
              <w:pStyle w:val="14"/>
              <w:numPr>
                <w:ilvl w:val="0"/>
                <w:numId w:val="0"/>
              </w:numPr>
              <w:spacing w:line="360" w:lineRule="auto"/>
              <w:jc w:val="left"/>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1.投标人提供的演示视频内容全面准确，画质、音质清晰，播放流畅，视频中有</w:t>
            </w:r>
            <w:r>
              <w:rPr>
                <w:rFonts w:hint="eastAsia" w:ascii="宋体" w:hAnsi="宋体" w:eastAsia="宋体" w:cs="宋体"/>
                <w:color w:val="auto"/>
                <w:sz w:val="24"/>
                <w:szCs w:val="24"/>
                <w:highlight w:val="none"/>
                <w:lang w:val="en-US" w:eastAsia="zh-CN"/>
              </w:rPr>
              <w:t>案例分析，有较强说服力及吸引力，</w:t>
            </w:r>
            <w:r>
              <w:rPr>
                <w:rFonts w:hint="eastAsia" w:ascii="宋体" w:hAnsi="宋体" w:eastAsia="宋体" w:cs="宋体"/>
                <w:bCs/>
                <w:color w:val="auto"/>
                <w:sz w:val="24"/>
                <w:szCs w:val="24"/>
                <w:highlight w:val="none"/>
                <w:lang w:val="en-US" w:eastAsia="zh-CN"/>
              </w:rPr>
              <w:t>完全满足采购人及招标文件要求的得5分；</w:t>
            </w:r>
          </w:p>
          <w:p w14:paraId="4EF54DC6">
            <w:pPr>
              <w:pStyle w:val="14"/>
              <w:numPr>
                <w:ilvl w:val="0"/>
                <w:numId w:val="0"/>
              </w:numPr>
              <w:spacing w:line="360" w:lineRule="auto"/>
              <w:jc w:val="left"/>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2.投标人提供的演示视频内容全面准确，画质、音质清晰，播放流畅，视频中有</w:t>
            </w:r>
            <w:r>
              <w:rPr>
                <w:rFonts w:hint="eastAsia" w:ascii="宋体" w:hAnsi="宋体" w:eastAsia="宋体" w:cs="宋体"/>
                <w:color w:val="auto"/>
                <w:sz w:val="24"/>
                <w:szCs w:val="24"/>
                <w:highlight w:val="none"/>
                <w:lang w:val="en-US" w:eastAsia="zh-CN"/>
              </w:rPr>
              <w:t>案例分析，有说服力及吸引力，</w:t>
            </w:r>
            <w:r>
              <w:rPr>
                <w:rFonts w:hint="eastAsia" w:ascii="宋体" w:hAnsi="宋体" w:eastAsia="宋体" w:cs="宋体"/>
                <w:bCs/>
                <w:color w:val="auto"/>
                <w:sz w:val="24"/>
                <w:szCs w:val="24"/>
                <w:highlight w:val="none"/>
                <w:lang w:val="en-US" w:eastAsia="zh-CN"/>
              </w:rPr>
              <w:t>基本能满足采购人及招标文件要求的得3分；</w:t>
            </w:r>
          </w:p>
          <w:p w14:paraId="6BA86D33">
            <w:pPr>
              <w:pStyle w:val="14"/>
              <w:numPr>
                <w:ilvl w:val="0"/>
                <w:numId w:val="0"/>
              </w:numPr>
              <w:spacing w:line="360" w:lineRule="auto"/>
              <w:jc w:val="left"/>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3.投标人提供的演示视频内容不全面，画质、音质清晰，播放流畅，难以满足采购人及招标文件要求的得1分。</w:t>
            </w:r>
          </w:p>
          <w:p w14:paraId="64511FFD">
            <w:pPr>
              <w:kinsoku w:val="0"/>
              <w:overflowPunct w:val="0"/>
              <w:autoSpaceDE w:val="0"/>
              <w:autoSpaceDN w:val="0"/>
              <w:spacing w:line="360" w:lineRule="auto"/>
              <w:outlineLvl w:val="2"/>
              <w:rPr>
                <w:rFonts w:hint="eastAsia" w:ascii="宋体" w:hAnsi="宋体" w:eastAsia="宋体" w:cs="宋体"/>
                <w:b/>
                <w:bCs/>
                <w:color w:val="auto"/>
                <w:sz w:val="24"/>
                <w:szCs w:val="24"/>
                <w:highlight w:val="none"/>
                <w:shd w:val="clear" w:color="auto" w:fill="auto"/>
                <w:lang w:val="en-US" w:eastAsia="zh-CN"/>
              </w:rPr>
            </w:pPr>
            <w:r>
              <w:rPr>
                <w:rFonts w:hint="eastAsia" w:ascii="宋体" w:hAnsi="宋体" w:eastAsia="宋体" w:cs="宋体"/>
                <w:bCs/>
                <w:color w:val="auto"/>
                <w:sz w:val="24"/>
                <w:szCs w:val="24"/>
                <w:highlight w:val="none"/>
                <w:lang w:val="en-US" w:eastAsia="zh-CN"/>
              </w:rPr>
              <w:t>未提供演示视频的不得分。</w:t>
            </w:r>
          </w:p>
        </w:tc>
      </w:tr>
      <w:tr w14:paraId="67039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920" w:hRule="atLeast"/>
        </w:trPr>
        <w:tc>
          <w:tcPr>
            <w:tcW w:w="1094" w:type="dxa"/>
            <w:vMerge w:val="continue"/>
            <w:shd w:val="clear" w:color="auto" w:fill="FFFFFF"/>
            <w:tcMar>
              <w:top w:w="0" w:type="dxa"/>
              <w:left w:w="108" w:type="dxa"/>
              <w:bottom w:w="0" w:type="dxa"/>
              <w:right w:w="108" w:type="dxa"/>
            </w:tcMar>
            <w:vAlign w:val="center"/>
          </w:tcPr>
          <w:p w14:paraId="5B7AC944">
            <w:pPr>
              <w:spacing w:line="360" w:lineRule="auto"/>
              <w:jc w:val="center"/>
              <w:rPr>
                <w:rFonts w:hint="eastAsia" w:ascii="宋体" w:hAnsi="宋体" w:eastAsia="宋体" w:cs="宋体"/>
                <w:color w:val="auto"/>
                <w:sz w:val="24"/>
                <w:highlight w:val="none"/>
              </w:rPr>
            </w:pPr>
          </w:p>
        </w:tc>
        <w:tc>
          <w:tcPr>
            <w:tcW w:w="1666" w:type="dxa"/>
            <w:shd w:val="clear" w:color="auto" w:fill="FFFFFF"/>
            <w:tcMar>
              <w:top w:w="0" w:type="dxa"/>
              <w:left w:w="108" w:type="dxa"/>
              <w:bottom w:w="0" w:type="dxa"/>
              <w:right w:w="108" w:type="dxa"/>
            </w:tcMar>
            <w:vAlign w:val="center"/>
          </w:tcPr>
          <w:p w14:paraId="3263D531">
            <w:pPr>
              <w:pStyle w:val="15"/>
              <w:spacing w:line="360" w:lineRule="auto"/>
              <w:jc w:val="center"/>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rPr>
              <w:t>类似业绩</w:t>
            </w:r>
            <w:r>
              <w:rPr>
                <w:rFonts w:hint="eastAsia" w:ascii="宋体" w:hAnsi="宋体" w:eastAsia="宋体" w:cs="宋体"/>
                <w:b w:val="0"/>
                <w:color w:val="auto"/>
                <w:sz w:val="24"/>
                <w:szCs w:val="24"/>
                <w:highlight w:val="none"/>
                <w:lang w:val="en-US" w:eastAsia="zh-CN"/>
              </w:rPr>
              <w:t>评审</w:t>
            </w:r>
          </w:p>
          <w:p w14:paraId="624E6E4E">
            <w:pPr>
              <w:pStyle w:val="15"/>
              <w:spacing w:line="360" w:lineRule="auto"/>
              <w:jc w:val="center"/>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（满分</w:t>
            </w:r>
            <w:r>
              <w:rPr>
                <w:rFonts w:hint="eastAsia" w:ascii="宋体" w:hAnsi="宋体" w:eastAsia="宋体" w:cs="宋体"/>
                <w:b w:val="0"/>
                <w:color w:val="auto"/>
                <w:sz w:val="24"/>
                <w:szCs w:val="24"/>
                <w:highlight w:val="none"/>
                <w:lang w:val="en-US" w:eastAsia="zh-CN"/>
              </w:rPr>
              <w:t>3</w:t>
            </w:r>
            <w:r>
              <w:rPr>
                <w:rFonts w:hint="eastAsia" w:ascii="宋体" w:hAnsi="宋体" w:eastAsia="宋体" w:cs="宋体"/>
                <w:b w:val="0"/>
                <w:color w:val="auto"/>
                <w:sz w:val="24"/>
                <w:szCs w:val="24"/>
                <w:highlight w:val="none"/>
              </w:rPr>
              <w:t>分）</w:t>
            </w:r>
          </w:p>
        </w:tc>
        <w:tc>
          <w:tcPr>
            <w:tcW w:w="7020" w:type="dxa"/>
            <w:shd w:val="clear" w:color="auto" w:fill="FFFFFF"/>
            <w:tcMar>
              <w:top w:w="0" w:type="dxa"/>
              <w:left w:w="108" w:type="dxa"/>
              <w:bottom w:w="0" w:type="dxa"/>
              <w:right w:w="108" w:type="dxa"/>
            </w:tcMar>
            <w:vAlign w:val="center"/>
          </w:tcPr>
          <w:p w14:paraId="47B0DB2E">
            <w:pPr>
              <w:adjustRightInd w:val="0"/>
              <w:snapToGrid w:val="0"/>
              <w:spacing w:line="360" w:lineRule="auto"/>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根据</w:t>
            </w:r>
            <w:r>
              <w:rPr>
                <w:rFonts w:hint="eastAsia" w:ascii="宋体" w:hAnsi="宋体" w:eastAsia="宋体" w:cs="宋体"/>
                <w:b w:val="0"/>
                <w:bCs w:val="0"/>
                <w:color w:val="auto"/>
                <w:kern w:val="0"/>
                <w:sz w:val="24"/>
                <w:szCs w:val="24"/>
                <w:highlight w:val="none"/>
                <w:lang w:eastAsia="zh-CN"/>
              </w:rPr>
              <w:t>投标人</w:t>
            </w:r>
            <w:r>
              <w:rPr>
                <w:rFonts w:hint="eastAsia" w:ascii="宋体" w:hAnsi="宋体" w:eastAsia="宋体" w:cs="宋体"/>
                <w:b w:val="0"/>
                <w:bCs w:val="0"/>
                <w:color w:val="auto"/>
                <w:kern w:val="0"/>
                <w:sz w:val="24"/>
                <w:szCs w:val="24"/>
                <w:highlight w:val="none"/>
              </w:rPr>
              <w:t>20</w:t>
            </w:r>
            <w:r>
              <w:rPr>
                <w:rFonts w:hint="eastAsia" w:ascii="宋体" w:hAnsi="宋体" w:eastAsia="宋体" w:cs="宋体"/>
                <w:b w:val="0"/>
                <w:bCs w:val="0"/>
                <w:color w:val="auto"/>
                <w:kern w:val="0"/>
                <w:sz w:val="24"/>
                <w:szCs w:val="24"/>
                <w:highlight w:val="none"/>
                <w:lang w:val="en-US" w:eastAsia="zh-CN"/>
              </w:rPr>
              <w:t>23</w:t>
            </w:r>
            <w:r>
              <w:rPr>
                <w:rFonts w:hint="eastAsia" w:ascii="宋体" w:hAnsi="宋体" w:eastAsia="宋体" w:cs="宋体"/>
                <w:b w:val="0"/>
                <w:bCs w:val="0"/>
                <w:color w:val="auto"/>
                <w:kern w:val="0"/>
                <w:sz w:val="24"/>
                <w:szCs w:val="24"/>
                <w:highlight w:val="none"/>
              </w:rPr>
              <w:t>年</w:t>
            </w:r>
            <w:r>
              <w:rPr>
                <w:rFonts w:hint="eastAsia" w:ascii="宋体" w:hAnsi="宋体" w:eastAsia="宋体" w:cs="宋体"/>
                <w:b w:val="0"/>
                <w:bCs w:val="0"/>
                <w:color w:val="auto"/>
                <w:kern w:val="0"/>
                <w:sz w:val="24"/>
                <w:szCs w:val="24"/>
                <w:highlight w:val="none"/>
                <w:lang w:val="en-US" w:eastAsia="zh-CN"/>
              </w:rPr>
              <w:t>1月1日</w:t>
            </w:r>
            <w:r>
              <w:rPr>
                <w:rFonts w:hint="eastAsia" w:ascii="宋体" w:hAnsi="宋体" w:eastAsia="宋体" w:cs="宋体"/>
                <w:b w:val="0"/>
                <w:bCs w:val="0"/>
                <w:color w:val="auto"/>
                <w:kern w:val="0"/>
                <w:sz w:val="24"/>
                <w:szCs w:val="24"/>
                <w:highlight w:val="none"/>
              </w:rPr>
              <w:t>至</w:t>
            </w:r>
            <w:r>
              <w:rPr>
                <w:rFonts w:hint="eastAsia" w:ascii="宋体" w:hAnsi="宋体" w:eastAsia="宋体" w:cs="宋体"/>
                <w:b w:val="0"/>
                <w:bCs w:val="0"/>
                <w:color w:val="auto"/>
                <w:sz w:val="24"/>
                <w:szCs w:val="24"/>
                <w:highlight w:val="none"/>
                <w:lang w:eastAsia="zh-CN"/>
              </w:rPr>
              <w:t>投标文件</w:t>
            </w:r>
            <w:r>
              <w:rPr>
                <w:rFonts w:hint="eastAsia" w:ascii="宋体" w:hAnsi="宋体" w:eastAsia="宋体" w:cs="宋体"/>
                <w:b w:val="0"/>
                <w:bCs w:val="0"/>
                <w:color w:val="auto"/>
                <w:sz w:val="24"/>
                <w:szCs w:val="24"/>
                <w:highlight w:val="none"/>
              </w:rPr>
              <w:t>提交截止时间</w:t>
            </w:r>
            <w:r>
              <w:rPr>
                <w:rFonts w:hint="eastAsia" w:ascii="宋体" w:hAnsi="宋体" w:eastAsia="宋体" w:cs="宋体"/>
                <w:b w:val="0"/>
                <w:bCs w:val="0"/>
                <w:color w:val="auto"/>
                <w:kern w:val="0"/>
                <w:sz w:val="24"/>
                <w:szCs w:val="24"/>
                <w:highlight w:val="none"/>
              </w:rPr>
              <w:t>前已完成或正在实施过程中的类似</w:t>
            </w:r>
            <w:r>
              <w:rPr>
                <w:rFonts w:hint="eastAsia" w:ascii="宋体" w:hAnsi="宋体" w:eastAsia="宋体" w:cs="宋体"/>
                <w:b w:val="0"/>
                <w:bCs w:val="0"/>
                <w:color w:val="auto"/>
                <w:kern w:val="0"/>
                <w:sz w:val="24"/>
                <w:szCs w:val="24"/>
                <w:highlight w:val="none"/>
                <w:lang w:val="en-US" w:eastAsia="zh-CN"/>
              </w:rPr>
              <w:t>业绩</w:t>
            </w:r>
            <w:r>
              <w:rPr>
                <w:rFonts w:hint="eastAsia" w:ascii="宋体" w:hAnsi="宋体" w:eastAsia="宋体" w:cs="宋体"/>
                <w:b w:val="0"/>
                <w:bCs w:val="0"/>
                <w:color w:val="auto"/>
                <w:kern w:val="0"/>
                <w:sz w:val="24"/>
                <w:szCs w:val="24"/>
                <w:highlight w:val="none"/>
              </w:rPr>
              <w:t>进行评价打分，每提供一个类似</w:t>
            </w:r>
            <w:r>
              <w:rPr>
                <w:rFonts w:hint="eastAsia" w:ascii="宋体" w:hAnsi="宋体" w:eastAsia="宋体" w:cs="宋体"/>
                <w:b w:val="0"/>
                <w:bCs w:val="0"/>
                <w:color w:val="auto"/>
                <w:kern w:val="0"/>
                <w:sz w:val="24"/>
                <w:szCs w:val="24"/>
                <w:highlight w:val="none"/>
                <w:lang w:val="en-US" w:eastAsia="zh-CN"/>
              </w:rPr>
              <w:t>业绩</w:t>
            </w:r>
            <w:r>
              <w:rPr>
                <w:rFonts w:hint="eastAsia" w:ascii="宋体" w:hAnsi="宋体" w:eastAsia="宋体" w:cs="宋体"/>
                <w:b w:val="0"/>
                <w:bCs w:val="0"/>
                <w:color w:val="auto"/>
                <w:kern w:val="0"/>
                <w:sz w:val="24"/>
                <w:szCs w:val="24"/>
                <w:highlight w:val="none"/>
              </w:rPr>
              <w:t>得</w:t>
            </w:r>
            <w:r>
              <w:rPr>
                <w:rFonts w:hint="eastAsia" w:ascii="宋体" w:hAnsi="宋体" w:eastAsia="宋体" w:cs="宋体"/>
                <w:b w:val="0"/>
                <w:bCs w:val="0"/>
                <w:color w:val="auto"/>
                <w:kern w:val="0"/>
                <w:sz w:val="24"/>
                <w:szCs w:val="24"/>
                <w:highlight w:val="none"/>
                <w:lang w:val="en-US" w:eastAsia="zh-CN"/>
              </w:rPr>
              <w:t>1</w:t>
            </w:r>
            <w:r>
              <w:rPr>
                <w:rFonts w:hint="eastAsia" w:ascii="宋体" w:hAnsi="宋体" w:eastAsia="宋体" w:cs="宋体"/>
                <w:b w:val="0"/>
                <w:bCs w:val="0"/>
                <w:color w:val="auto"/>
                <w:kern w:val="0"/>
                <w:sz w:val="24"/>
                <w:szCs w:val="24"/>
                <w:highlight w:val="none"/>
              </w:rPr>
              <w:t>分，</w:t>
            </w:r>
            <w:r>
              <w:rPr>
                <w:rFonts w:hint="eastAsia" w:ascii="宋体" w:hAnsi="宋体" w:eastAsia="宋体" w:cs="宋体"/>
                <w:b w:val="0"/>
                <w:bCs w:val="0"/>
                <w:color w:val="auto"/>
                <w:kern w:val="0"/>
                <w:sz w:val="24"/>
                <w:szCs w:val="24"/>
                <w:highlight w:val="none"/>
                <w:lang w:eastAsia="zh-CN"/>
              </w:rPr>
              <w:t>分数</w:t>
            </w:r>
            <w:r>
              <w:rPr>
                <w:rFonts w:hint="eastAsia" w:ascii="宋体" w:hAnsi="宋体" w:eastAsia="宋体" w:cs="宋体"/>
                <w:b w:val="0"/>
                <w:bCs w:val="0"/>
                <w:color w:val="auto"/>
                <w:kern w:val="0"/>
                <w:sz w:val="24"/>
                <w:szCs w:val="24"/>
                <w:highlight w:val="none"/>
              </w:rPr>
              <w:t>加满为止。</w:t>
            </w:r>
          </w:p>
          <w:p w14:paraId="3F3D6B73">
            <w:pPr>
              <w:kinsoku w:val="0"/>
              <w:overflowPunct w:val="0"/>
              <w:autoSpaceDE w:val="0"/>
              <w:autoSpaceDN w:val="0"/>
              <w:spacing w:line="360" w:lineRule="auto"/>
              <w:outlineLvl w:val="2"/>
              <w:rPr>
                <w:rFonts w:hint="eastAsia" w:ascii="宋体" w:hAnsi="宋体" w:eastAsia="宋体" w:cs="宋体"/>
                <w:b/>
                <w:bCs/>
                <w:color w:val="auto"/>
                <w:sz w:val="24"/>
                <w:highlight w:val="none"/>
              </w:rPr>
            </w:pPr>
            <w:r>
              <w:rPr>
                <w:rFonts w:hint="eastAsia" w:ascii="宋体" w:hAnsi="宋体" w:eastAsia="宋体" w:cs="宋体"/>
                <w:b/>
                <w:bCs/>
                <w:color w:val="auto"/>
                <w:kern w:val="0"/>
                <w:sz w:val="24"/>
                <w:szCs w:val="24"/>
                <w:highlight w:val="none"/>
              </w:rPr>
              <w:t>注：</w:t>
            </w:r>
            <w:r>
              <w:rPr>
                <w:rFonts w:hint="eastAsia" w:ascii="宋体" w:hAnsi="宋体" w:eastAsia="宋体" w:cs="宋体"/>
                <w:b/>
                <w:bCs/>
                <w:color w:val="auto"/>
                <w:kern w:val="0"/>
                <w:sz w:val="24"/>
                <w:szCs w:val="24"/>
                <w:highlight w:val="none"/>
                <w:lang w:eastAsia="zh-CN"/>
              </w:rPr>
              <w:t>投标人</w:t>
            </w:r>
            <w:r>
              <w:rPr>
                <w:rFonts w:hint="eastAsia" w:ascii="宋体" w:hAnsi="宋体" w:eastAsia="宋体" w:cs="宋体"/>
                <w:b/>
                <w:bCs/>
                <w:color w:val="auto"/>
                <w:kern w:val="0"/>
                <w:sz w:val="24"/>
                <w:szCs w:val="24"/>
                <w:highlight w:val="none"/>
              </w:rPr>
              <w:t>须提供类似</w:t>
            </w:r>
            <w:r>
              <w:rPr>
                <w:rFonts w:hint="eastAsia" w:ascii="宋体" w:hAnsi="宋体" w:eastAsia="宋体" w:cs="宋体"/>
                <w:b/>
                <w:bCs/>
                <w:color w:val="auto"/>
                <w:kern w:val="0"/>
                <w:sz w:val="24"/>
                <w:szCs w:val="24"/>
                <w:highlight w:val="none"/>
                <w:lang w:val="en-US" w:eastAsia="zh-CN"/>
              </w:rPr>
              <w:t>业绩</w:t>
            </w:r>
            <w:r>
              <w:rPr>
                <w:rFonts w:hint="eastAsia" w:ascii="宋体" w:hAnsi="宋体" w:eastAsia="宋体" w:cs="宋体"/>
                <w:b/>
                <w:bCs/>
                <w:color w:val="auto"/>
                <w:kern w:val="0"/>
                <w:sz w:val="24"/>
                <w:szCs w:val="24"/>
                <w:highlight w:val="none"/>
              </w:rPr>
              <w:t>的合同或中标/成交通知书</w:t>
            </w:r>
            <w:r>
              <w:rPr>
                <w:rFonts w:hint="eastAsia" w:ascii="宋体" w:hAnsi="宋体" w:eastAsia="宋体" w:cs="宋体"/>
                <w:b/>
                <w:bCs/>
                <w:color w:val="auto"/>
                <w:kern w:val="0"/>
                <w:sz w:val="24"/>
                <w:szCs w:val="24"/>
                <w:highlight w:val="none"/>
                <w:lang w:val="en-US" w:eastAsia="zh-CN"/>
              </w:rPr>
              <w:t>扫描件</w:t>
            </w:r>
            <w:r>
              <w:rPr>
                <w:rFonts w:hint="eastAsia" w:ascii="宋体" w:hAnsi="宋体" w:eastAsia="宋体" w:cs="宋体"/>
                <w:b/>
                <w:bCs/>
                <w:color w:val="auto"/>
                <w:kern w:val="0"/>
                <w:sz w:val="24"/>
                <w:szCs w:val="24"/>
                <w:highlight w:val="none"/>
              </w:rPr>
              <w:t>等证明材料，无证明材料或未按要求提供证明材料或证明材料无法体现内容的，不予认可。日期以合同签订日期或中标/成交通知书日期为准。</w:t>
            </w:r>
          </w:p>
        </w:tc>
      </w:tr>
    </w:tbl>
    <w:p w14:paraId="75DFC3E3">
      <w:pPr>
        <w:spacing w:line="360" w:lineRule="auto"/>
        <w:ind w:firstLine="480" w:firstLineChars="200"/>
        <w:rPr>
          <w:rFonts w:hint="eastAsia" w:ascii="宋体" w:hAnsi="宋体" w:eastAsia="宋体" w:cs="宋体"/>
          <w:color w:val="auto"/>
          <w:sz w:val="24"/>
          <w:highlight w:val="none"/>
          <w:shd w:val="clear" w:color="auto" w:fill="FFFFFF"/>
        </w:rPr>
      </w:pPr>
      <w:r>
        <w:rPr>
          <w:rFonts w:hint="eastAsia" w:ascii="宋体" w:hAnsi="宋体" w:eastAsia="宋体" w:cs="宋体"/>
          <w:color w:val="auto"/>
          <w:sz w:val="24"/>
          <w:highlight w:val="none"/>
          <w:shd w:val="clear" w:color="auto" w:fill="FFFFFF"/>
        </w:rPr>
        <w:t>注：1.上述表中按每项评审要求所涉及到的所有资料，</w:t>
      </w:r>
      <w:r>
        <w:rPr>
          <w:rFonts w:hint="eastAsia" w:ascii="宋体" w:hAnsi="宋体" w:eastAsia="宋体" w:cs="宋体"/>
          <w:color w:val="auto"/>
          <w:sz w:val="24"/>
          <w:highlight w:val="none"/>
          <w:shd w:val="clear" w:color="auto" w:fill="FFFFFF"/>
          <w:lang w:eastAsia="zh-CN"/>
        </w:rPr>
        <w:t>投标人</w:t>
      </w:r>
      <w:r>
        <w:rPr>
          <w:rFonts w:hint="eastAsia" w:ascii="宋体" w:hAnsi="宋体" w:eastAsia="宋体" w:cs="宋体"/>
          <w:color w:val="auto"/>
          <w:sz w:val="24"/>
          <w:highlight w:val="none"/>
          <w:shd w:val="clear" w:color="auto" w:fill="FFFFFF"/>
        </w:rPr>
        <w:t>必须认真分类放于</w:t>
      </w:r>
      <w:r>
        <w:rPr>
          <w:rFonts w:hint="eastAsia" w:ascii="宋体" w:hAnsi="宋体" w:eastAsia="宋体" w:cs="宋体"/>
          <w:color w:val="auto"/>
          <w:sz w:val="24"/>
          <w:highlight w:val="none"/>
          <w:shd w:val="clear" w:color="auto" w:fill="FFFFFF"/>
          <w:lang w:val="en-US" w:eastAsia="zh-CN"/>
        </w:rPr>
        <w:t>投标</w:t>
      </w:r>
      <w:r>
        <w:rPr>
          <w:rFonts w:hint="eastAsia" w:ascii="宋体" w:hAnsi="宋体" w:eastAsia="宋体" w:cs="宋体"/>
          <w:color w:val="auto"/>
          <w:sz w:val="24"/>
          <w:highlight w:val="none"/>
          <w:shd w:val="clear" w:color="auto" w:fill="FFFFFF"/>
        </w:rPr>
        <w:t>文件中。评标委员会成员按以上详细评分标准规定及</w:t>
      </w:r>
      <w:r>
        <w:rPr>
          <w:rFonts w:hint="eastAsia" w:ascii="宋体" w:hAnsi="宋体" w:eastAsia="宋体" w:cs="宋体"/>
          <w:color w:val="auto"/>
          <w:sz w:val="24"/>
          <w:highlight w:val="none"/>
          <w:shd w:val="clear" w:color="auto" w:fill="FFFFFF"/>
          <w:lang w:eastAsia="zh-CN"/>
        </w:rPr>
        <w:t>投标人</w:t>
      </w:r>
      <w:r>
        <w:rPr>
          <w:rFonts w:hint="eastAsia" w:ascii="宋体" w:hAnsi="宋体" w:eastAsia="宋体" w:cs="宋体"/>
          <w:color w:val="auto"/>
          <w:sz w:val="24"/>
          <w:highlight w:val="none"/>
          <w:shd w:val="clear" w:color="auto" w:fill="FFFFFF"/>
        </w:rPr>
        <w:t>内容自主独立打分。</w:t>
      </w:r>
    </w:p>
    <w:p w14:paraId="246ADB98">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color="auto" w:fill="FFFFFF"/>
        </w:rPr>
        <w:t>2.综合得分计算规则：取所有</w:t>
      </w:r>
      <w:r>
        <w:rPr>
          <w:rFonts w:hint="eastAsia" w:ascii="宋体" w:hAnsi="宋体" w:eastAsia="宋体" w:cs="宋体"/>
          <w:color w:val="auto"/>
          <w:sz w:val="24"/>
          <w:highlight w:val="none"/>
          <w:shd w:val="clear" w:color="auto" w:fill="FFFFFF"/>
          <w:lang w:eastAsia="zh-CN"/>
        </w:rPr>
        <w:t>投标人</w:t>
      </w:r>
      <w:r>
        <w:rPr>
          <w:rFonts w:hint="eastAsia" w:ascii="宋体" w:hAnsi="宋体" w:eastAsia="宋体" w:cs="宋体"/>
          <w:color w:val="auto"/>
          <w:sz w:val="24"/>
          <w:highlight w:val="none"/>
          <w:shd w:val="clear" w:color="auto" w:fill="FFFFFF"/>
        </w:rPr>
        <w:t>的评审评分计算算术平均值，最后得分保留两位小数，第三位四舍五入。</w:t>
      </w:r>
    </w:p>
    <w:p w14:paraId="1F3C9AFD">
      <w:pPr>
        <w:pStyle w:val="3"/>
        <w:spacing w:before="0"/>
        <w:rPr>
          <w:rFonts w:hint="eastAsia" w:ascii="宋体" w:hAnsi="宋体" w:eastAsia="宋体" w:cs="宋体"/>
          <w:color w:val="auto"/>
          <w:sz w:val="24"/>
          <w:szCs w:val="24"/>
          <w:highlight w:val="none"/>
        </w:rPr>
      </w:pPr>
      <w:bookmarkStart w:id="175" w:name="_Toc5011"/>
      <w:bookmarkStart w:id="176" w:name="_Toc25646"/>
      <w:bookmarkStart w:id="177" w:name="_Toc11993"/>
      <w:bookmarkStart w:id="178" w:name="_Toc14816"/>
      <w:bookmarkStart w:id="179" w:name="_Toc2729"/>
      <w:bookmarkStart w:id="180" w:name="_Toc24172"/>
      <w:bookmarkStart w:id="181" w:name="_Toc14243"/>
      <w:r>
        <w:rPr>
          <w:rFonts w:hint="eastAsia" w:ascii="宋体" w:hAnsi="宋体" w:eastAsia="宋体" w:cs="宋体"/>
          <w:color w:val="auto"/>
          <w:sz w:val="24"/>
          <w:szCs w:val="24"/>
          <w:highlight w:val="none"/>
        </w:rPr>
        <w:t>1. 评标方法</w:t>
      </w:r>
      <w:bookmarkEnd w:id="175"/>
      <w:bookmarkEnd w:id="176"/>
      <w:bookmarkEnd w:id="177"/>
      <w:bookmarkEnd w:id="178"/>
      <w:bookmarkEnd w:id="179"/>
      <w:bookmarkEnd w:id="180"/>
      <w:bookmarkEnd w:id="181"/>
    </w:p>
    <w:p w14:paraId="7312A184">
      <w:pPr>
        <w:adjustRightIn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本次评标采用综合评分法。评标委员会对通过资格审查、符合性审查的投标文件，按照本章第2 款规定的评分标准进行打分，并按得分由高到低顺序推荐中标候选人；得分相同的，按投标报价由低到高顺序排列。得分且投标报价相同的并列。投标文件满足招标文件全部实质性要求，且按照评审因素的量化指标评审得分最高的投标人为排名第一的中标候选人。</w:t>
      </w:r>
    </w:p>
    <w:p w14:paraId="2CCB3B57">
      <w:pPr>
        <w:pStyle w:val="3"/>
        <w:spacing w:before="0"/>
        <w:rPr>
          <w:rFonts w:hint="eastAsia" w:ascii="宋体" w:hAnsi="宋体" w:eastAsia="宋体" w:cs="宋体"/>
          <w:color w:val="auto"/>
          <w:sz w:val="24"/>
          <w:szCs w:val="24"/>
          <w:highlight w:val="none"/>
        </w:rPr>
      </w:pPr>
      <w:bookmarkStart w:id="182" w:name="_Toc14328"/>
      <w:bookmarkStart w:id="183" w:name="_Toc17968"/>
      <w:bookmarkStart w:id="184" w:name="_Toc22678"/>
      <w:bookmarkStart w:id="185" w:name="_Toc30362"/>
      <w:bookmarkStart w:id="186" w:name="_Toc22803"/>
      <w:bookmarkStart w:id="187" w:name="_Toc29912"/>
      <w:bookmarkStart w:id="188" w:name="_Toc15306"/>
      <w:r>
        <w:rPr>
          <w:rFonts w:hint="eastAsia" w:ascii="宋体" w:hAnsi="宋体" w:eastAsia="宋体" w:cs="宋体"/>
          <w:color w:val="auto"/>
          <w:sz w:val="24"/>
          <w:szCs w:val="24"/>
          <w:highlight w:val="none"/>
        </w:rPr>
        <w:t>2. 评审标准</w:t>
      </w:r>
      <w:bookmarkEnd w:id="182"/>
      <w:bookmarkEnd w:id="183"/>
      <w:bookmarkEnd w:id="184"/>
      <w:bookmarkEnd w:id="185"/>
      <w:bookmarkEnd w:id="186"/>
      <w:bookmarkEnd w:id="187"/>
      <w:bookmarkEnd w:id="188"/>
    </w:p>
    <w:p w14:paraId="0BB05226">
      <w:pPr>
        <w:pStyle w:val="4"/>
        <w:spacing w:before="0"/>
        <w:rPr>
          <w:rFonts w:hint="eastAsia" w:ascii="宋体" w:hAnsi="宋体" w:eastAsia="宋体" w:cs="宋体"/>
          <w:color w:val="auto"/>
          <w:sz w:val="24"/>
          <w:szCs w:val="24"/>
          <w:highlight w:val="none"/>
        </w:rPr>
      </w:pPr>
      <w:bookmarkStart w:id="189" w:name="_Toc1947"/>
      <w:bookmarkStart w:id="190" w:name="_Toc8316"/>
      <w:bookmarkStart w:id="191" w:name="_Toc8601"/>
      <w:r>
        <w:rPr>
          <w:rFonts w:hint="eastAsia" w:ascii="宋体" w:hAnsi="宋体" w:eastAsia="宋体" w:cs="宋体"/>
          <w:color w:val="auto"/>
          <w:sz w:val="24"/>
          <w:szCs w:val="24"/>
          <w:highlight w:val="none"/>
        </w:rPr>
        <w:t>2.1 符合性评审标准</w:t>
      </w:r>
      <w:bookmarkEnd w:id="189"/>
      <w:bookmarkEnd w:id="190"/>
      <w:bookmarkEnd w:id="191"/>
    </w:p>
    <w:p w14:paraId="064C319B">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符合性审查标准：依据招标文件的规定，从投标文件的有效性、完整性和对招标文件的响应程度进行审查，以确定是否对招标文件的实质性要求作出响应；见评标办法前附表。</w:t>
      </w:r>
    </w:p>
    <w:p w14:paraId="3417CAD2">
      <w:pPr>
        <w:pStyle w:val="4"/>
        <w:spacing w:before="0"/>
        <w:rPr>
          <w:rFonts w:hint="eastAsia" w:ascii="宋体" w:hAnsi="宋体" w:eastAsia="宋体" w:cs="宋体"/>
          <w:color w:val="auto"/>
          <w:sz w:val="24"/>
          <w:szCs w:val="24"/>
          <w:highlight w:val="none"/>
        </w:rPr>
      </w:pPr>
      <w:bookmarkStart w:id="192" w:name="_Toc24559"/>
      <w:bookmarkStart w:id="193" w:name="_Toc7841"/>
      <w:bookmarkStart w:id="194" w:name="_Toc687"/>
      <w:r>
        <w:rPr>
          <w:rFonts w:hint="eastAsia" w:ascii="宋体" w:hAnsi="宋体" w:eastAsia="宋体" w:cs="宋体"/>
          <w:color w:val="auto"/>
          <w:sz w:val="24"/>
          <w:szCs w:val="24"/>
          <w:highlight w:val="none"/>
        </w:rPr>
        <w:t>2.2 分值构成与评分标准</w:t>
      </w:r>
      <w:bookmarkEnd w:id="192"/>
      <w:bookmarkEnd w:id="193"/>
      <w:bookmarkEnd w:id="194"/>
    </w:p>
    <w:p w14:paraId="0FCCA705">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2.2.1 分值构成</w:t>
      </w:r>
    </w:p>
    <w:p w14:paraId="39301E4B">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（1）报价部分：见评标办法前附表；</w:t>
      </w:r>
    </w:p>
    <w:p w14:paraId="0606F4EC">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（2）技术部分：见评标办法前附表。</w:t>
      </w:r>
    </w:p>
    <w:p w14:paraId="53EEB4C2">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2.2.2 评标基准价计算方法：见评标办法前附表。</w:t>
      </w:r>
    </w:p>
    <w:p w14:paraId="07996B12">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2.2.3 评分标准</w:t>
      </w:r>
    </w:p>
    <w:p w14:paraId="23AD36EE">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按招标文件中规定的评标方法和标准，对符合性评审合格的投标文件进行商务和技术评估，综合比较与评价。</w:t>
      </w:r>
    </w:p>
    <w:p w14:paraId="47211470">
      <w:pPr>
        <w:pStyle w:val="21"/>
        <w:tabs>
          <w:tab w:val="left" w:pos="2472"/>
        </w:tabs>
        <w:spacing w:line="360" w:lineRule="auto"/>
        <w:ind w:firstLine="480" w:firstLineChars="200"/>
        <w:rPr>
          <w:rFonts w:hint="eastAsia" w:ascii="宋体" w:hAnsi="宋体" w:eastAsia="宋体" w:cs="宋体"/>
          <w:color w:val="auto"/>
          <w:sz w:val="24"/>
          <w:szCs w:val="24"/>
          <w:highlight w:val="none"/>
        </w:rPr>
      </w:pPr>
      <w:bookmarkStart w:id="195" w:name="_Toc21678"/>
      <w:bookmarkStart w:id="196" w:name="_Toc12941"/>
      <w:r>
        <w:rPr>
          <w:rFonts w:hint="eastAsia" w:ascii="宋体" w:hAnsi="宋体" w:eastAsia="宋体" w:cs="宋体"/>
          <w:color w:val="auto"/>
          <w:sz w:val="24"/>
          <w:szCs w:val="24"/>
          <w:highlight w:val="none"/>
        </w:rPr>
        <w:t>（1）报价部分：见评标办法前附表；</w:t>
      </w:r>
    </w:p>
    <w:p w14:paraId="5B19ED92">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（2）技术部分：见评标办法前附表。</w:t>
      </w:r>
    </w:p>
    <w:p w14:paraId="0CBBCE90">
      <w:pPr>
        <w:pStyle w:val="3"/>
        <w:spacing w:before="0"/>
        <w:rPr>
          <w:rFonts w:hint="eastAsia" w:ascii="宋体" w:hAnsi="宋体" w:eastAsia="宋体" w:cs="宋体"/>
          <w:color w:val="auto"/>
          <w:sz w:val="24"/>
          <w:szCs w:val="24"/>
          <w:highlight w:val="none"/>
        </w:rPr>
      </w:pPr>
      <w:bookmarkStart w:id="197" w:name="_Toc6249"/>
      <w:bookmarkStart w:id="198" w:name="_Toc28572"/>
      <w:bookmarkStart w:id="199" w:name="_Toc19303"/>
      <w:bookmarkStart w:id="200" w:name="_Toc4784"/>
      <w:bookmarkStart w:id="201" w:name="_Toc24772"/>
      <w:r>
        <w:rPr>
          <w:rFonts w:hint="eastAsia" w:ascii="宋体" w:hAnsi="宋体" w:eastAsia="宋体" w:cs="宋体"/>
          <w:color w:val="auto"/>
          <w:sz w:val="24"/>
          <w:szCs w:val="24"/>
          <w:highlight w:val="none"/>
        </w:rPr>
        <w:t>3. 评标程序</w:t>
      </w:r>
      <w:bookmarkEnd w:id="195"/>
      <w:bookmarkEnd w:id="196"/>
      <w:bookmarkEnd w:id="197"/>
      <w:bookmarkEnd w:id="198"/>
      <w:bookmarkEnd w:id="199"/>
      <w:bookmarkEnd w:id="200"/>
      <w:bookmarkEnd w:id="201"/>
    </w:p>
    <w:p w14:paraId="1BF01998">
      <w:pPr>
        <w:pStyle w:val="4"/>
        <w:spacing w:before="0"/>
        <w:rPr>
          <w:rFonts w:hint="eastAsia" w:ascii="宋体" w:hAnsi="宋体" w:eastAsia="宋体" w:cs="宋体"/>
          <w:color w:val="auto"/>
          <w:sz w:val="24"/>
          <w:szCs w:val="24"/>
          <w:highlight w:val="none"/>
        </w:rPr>
      </w:pPr>
      <w:bookmarkStart w:id="202" w:name="_Toc17113"/>
      <w:bookmarkStart w:id="203" w:name="_Toc22011"/>
      <w:bookmarkStart w:id="204" w:name="_Toc18836"/>
      <w:r>
        <w:rPr>
          <w:rFonts w:hint="eastAsia" w:ascii="宋体" w:hAnsi="宋体" w:eastAsia="宋体" w:cs="宋体"/>
          <w:color w:val="auto"/>
          <w:sz w:val="24"/>
          <w:szCs w:val="24"/>
          <w:highlight w:val="none"/>
        </w:rPr>
        <w:t>3.1 符合性评审</w:t>
      </w:r>
      <w:bookmarkEnd w:id="202"/>
      <w:bookmarkEnd w:id="203"/>
      <w:bookmarkEnd w:id="204"/>
    </w:p>
    <w:p w14:paraId="6512A74C">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3.1.1 评标委员会依据本章第1项、第2项规定的标准对投标文件进行符合性评审。有一项不符合评审标准的，作废标处理。</w:t>
      </w:r>
    </w:p>
    <w:p w14:paraId="17A8E89A">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3.1.2 投标人有以下情形之一的，其投标作废标处理：</w:t>
      </w:r>
    </w:p>
    <w:p w14:paraId="45F01531">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（1）串通投标或弄虚作假或有其他违法行为的；</w:t>
      </w:r>
    </w:p>
    <w:p w14:paraId="2669C9F3">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（2）不按评标委员会要求澄清、说明或补正的。</w:t>
      </w:r>
    </w:p>
    <w:p w14:paraId="43753E40">
      <w:pPr>
        <w:pStyle w:val="4"/>
        <w:spacing w:before="0"/>
        <w:rPr>
          <w:rFonts w:hint="eastAsia" w:ascii="宋体" w:hAnsi="宋体" w:eastAsia="宋体" w:cs="宋体"/>
          <w:color w:val="auto"/>
          <w:sz w:val="24"/>
          <w:szCs w:val="24"/>
          <w:highlight w:val="none"/>
        </w:rPr>
      </w:pPr>
      <w:bookmarkStart w:id="205" w:name="_Toc16405"/>
      <w:bookmarkStart w:id="206" w:name="_Toc13000"/>
      <w:bookmarkStart w:id="207" w:name="_Toc11496"/>
      <w:r>
        <w:rPr>
          <w:rFonts w:hint="eastAsia" w:ascii="宋体" w:hAnsi="宋体" w:eastAsia="宋体" w:cs="宋体"/>
          <w:color w:val="auto"/>
          <w:sz w:val="24"/>
          <w:szCs w:val="24"/>
          <w:highlight w:val="none"/>
        </w:rPr>
        <w:t>3.2 详细评审</w:t>
      </w:r>
      <w:bookmarkEnd w:id="205"/>
      <w:bookmarkEnd w:id="206"/>
      <w:bookmarkEnd w:id="207"/>
    </w:p>
    <w:p w14:paraId="03E20854">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3.2.1 评标委员会按本章第2款规定的量化因素和分值进行打分，并计算出投标人的评标总得分。</w:t>
      </w:r>
    </w:p>
    <w:p w14:paraId="11662149">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（1）按本章规定的评审因素和分值对技术部分计算出得分；</w:t>
      </w:r>
    </w:p>
    <w:p w14:paraId="1617ABCA">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（2）按本章规定的评审因素和分值对商务部分计算出得分；</w:t>
      </w:r>
    </w:p>
    <w:p w14:paraId="252615B0">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3.2.2技术部分和商务部分得分由评标委员会成员独立评分，计算各投标人得分的算术平均值计入各投标人总分。</w:t>
      </w:r>
    </w:p>
    <w:p w14:paraId="411AC858">
      <w:pPr>
        <w:spacing w:line="360" w:lineRule="auto"/>
        <w:ind w:firstLine="482" w:firstLineChars="200"/>
        <w:jc w:val="left"/>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highlight w:val="none"/>
        </w:rPr>
        <w:t>3.2.3</w:t>
      </w:r>
      <w:r>
        <w:rPr>
          <w:rFonts w:hint="eastAsia" w:ascii="宋体" w:hAnsi="宋体" w:eastAsia="宋体" w:cs="宋体"/>
          <w:b/>
          <w:color w:val="auto"/>
          <w:sz w:val="24"/>
          <w:szCs w:val="24"/>
          <w:highlight w:val="none"/>
          <w:lang w:val="en-US" w:eastAsia="zh-CN"/>
        </w:rPr>
        <w:t>经评标委员会（三分之二以上评委）认定：（一）投标（响应）报价低于全部通过符合性审查投标人投标（响应）报价平均值50%的，即投标（响应）报价&lt;全部通过符合性审查投标人投标（响应）报价平均值×50%；（二）投标（响应）报价低于通过符合性审查且报价次低投标人投标（响应）报价50%的，即投标（响应）报价&lt;通过符合性审查且报价次低投标人投标（响应）报价×50%；（三）投标（响应）报价低于采购项目最高限价45%的，即投标（响应）报价&lt;采购项目最高限价×45%；（四）其他评审委员会认为投标人报价过低，有可能影响产品质量或者不能诚信履约的情形。</w:t>
      </w:r>
    </w:p>
    <w:p w14:paraId="57721C4F">
      <w:pPr>
        <w:spacing w:line="360" w:lineRule="auto"/>
        <w:ind w:firstLine="482" w:firstLineChars="200"/>
        <w:jc w:val="left"/>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评审委员会启动异常低价投标（响应）审查后，应当要求相关投标人在评审现场合理的时间内提供书面说明及必要的证明材料，对投标（响应）价格作出解释。书面说明、证明材料主要是项目具体成本测算等与报价合理性相关的说明、材料。</w:t>
      </w:r>
    </w:p>
    <w:p w14:paraId="3B84B5C8">
      <w:pPr>
        <w:spacing w:line="360" w:lineRule="auto"/>
        <w:ind w:firstLine="482" w:firstLineChars="200"/>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3.2.4投标人的报价应当保持单项价格的合理性，严禁出现不平衡报价的情况，项目采购结束后，采购人有权对各单项价格进行核查，对于严重超过市场价格的单价，被认定为不平衡报价的单项，如果发生数量变动，将按照有利于采购人的单价进行认价。</w:t>
      </w:r>
    </w:p>
    <w:p w14:paraId="114EE79C">
      <w:pPr>
        <w:pStyle w:val="4"/>
        <w:spacing w:before="0"/>
        <w:rPr>
          <w:rFonts w:hint="eastAsia" w:ascii="宋体" w:hAnsi="宋体" w:eastAsia="宋体" w:cs="宋体"/>
          <w:color w:val="auto"/>
          <w:sz w:val="24"/>
          <w:szCs w:val="24"/>
          <w:highlight w:val="none"/>
        </w:rPr>
      </w:pPr>
      <w:bookmarkStart w:id="208" w:name="_Toc17860"/>
      <w:bookmarkStart w:id="209" w:name="_Toc2086"/>
      <w:bookmarkStart w:id="210" w:name="_Toc10843"/>
      <w:r>
        <w:rPr>
          <w:rFonts w:hint="eastAsia" w:ascii="宋体" w:hAnsi="宋体" w:eastAsia="宋体" w:cs="宋体"/>
          <w:color w:val="auto"/>
          <w:sz w:val="24"/>
          <w:szCs w:val="24"/>
          <w:highlight w:val="none"/>
        </w:rPr>
        <w:t>3.3 投标文件的澄清原则：</w:t>
      </w:r>
      <w:bookmarkEnd w:id="208"/>
      <w:bookmarkEnd w:id="209"/>
      <w:bookmarkEnd w:id="210"/>
      <w:r>
        <w:rPr>
          <w:rFonts w:hint="eastAsia" w:ascii="宋体" w:hAnsi="宋体" w:eastAsia="宋体" w:cs="宋体"/>
          <w:color w:val="auto"/>
          <w:sz w:val="24"/>
          <w:szCs w:val="24"/>
          <w:highlight w:val="none"/>
        </w:rPr>
        <w:t xml:space="preserve"> </w:t>
      </w:r>
    </w:p>
    <w:p w14:paraId="1B18078B">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3.3.1 在评标过程中，评标委员会可以书面形式（应当由评标委员会专家签字）要求投标人对所提交的投标文件中含义不明确、同类问题表述不一致或者有明显文字和计算错误的内容，进行书面澄清或说明，或者对细微偏差进行补正。评标委员会不接受投标人主动提出的澄清、说明或补正。</w:t>
      </w:r>
    </w:p>
    <w:p w14:paraId="03E617FF">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3.3.2 投标人的澄清、说明和补正应当采用书面形式，由法定代表人或其授权的代表签字，并不得改变投标文件的实质性内容。投标人的书面澄清、说明和补正属于投标文件的组成部分。</w:t>
      </w:r>
    </w:p>
    <w:p w14:paraId="2D334377">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3.3.3 评标委员会对投标人提交的澄清、说明或补正有疑问的，可以要求投标人进一步澄清、说明或补正，直至满足评标委员会的要求。</w:t>
      </w:r>
    </w:p>
    <w:p w14:paraId="22AFFE0E">
      <w:pPr>
        <w:pStyle w:val="4"/>
        <w:spacing w:before="0"/>
        <w:rPr>
          <w:rFonts w:hint="eastAsia" w:ascii="宋体" w:hAnsi="宋体" w:eastAsia="宋体" w:cs="宋体"/>
          <w:color w:val="auto"/>
          <w:sz w:val="24"/>
          <w:szCs w:val="24"/>
          <w:highlight w:val="none"/>
        </w:rPr>
      </w:pPr>
      <w:bookmarkStart w:id="211" w:name="_Toc21686"/>
      <w:bookmarkStart w:id="212" w:name="_Toc23050"/>
      <w:bookmarkStart w:id="213" w:name="_Toc20234"/>
      <w:r>
        <w:rPr>
          <w:rFonts w:hint="eastAsia" w:ascii="宋体" w:hAnsi="宋体" w:eastAsia="宋体" w:cs="宋体"/>
          <w:color w:val="auto"/>
          <w:sz w:val="24"/>
          <w:szCs w:val="24"/>
          <w:highlight w:val="none"/>
        </w:rPr>
        <w:t>3.4 评标结果</w:t>
      </w:r>
      <w:bookmarkEnd w:id="211"/>
      <w:bookmarkEnd w:id="212"/>
      <w:bookmarkEnd w:id="213"/>
    </w:p>
    <w:p w14:paraId="54B2200C">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3.4.1 评标委员会按得分由高到低顺序推荐3名中标候选人，并提出书面评标报告。</w:t>
      </w:r>
    </w:p>
    <w:p w14:paraId="508458B4">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3.4.2 采购人根据评标委员会提出的书面评标报告和推荐的中标候选人名单，确定中标人。</w:t>
      </w:r>
    </w:p>
    <w:p w14:paraId="004BE443">
      <w:pPr>
        <w:pStyle w:val="3"/>
        <w:spacing w:before="0"/>
        <w:rPr>
          <w:rFonts w:hint="eastAsia" w:ascii="宋体" w:hAnsi="宋体" w:eastAsia="宋体" w:cs="宋体"/>
          <w:color w:val="auto"/>
          <w:sz w:val="24"/>
          <w:szCs w:val="24"/>
          <w:highlight w:val="none"/>
        </w:rPr>
      </w:pPr>
      <w:bookmarkStart w:id="214" w:name="_Toc554"/>
      <w:bookmarkStart w:id="215" w:name="_Toc1896"/>
      <w:bookmarkStart w:id="216" w:name="_Toc5780266"/>
      <w:bookmarkStart w:id="217" w:name="_Toc9003"/>
      <w:bookmarkStart w:id="218" w:name="_Toc29985"/>
      <w:bookmarkStart w:id="219" w:name="_Toc8168240"/>
      <w:bookmarkStart w:id="220" w:name="_Toc7412"/>
      <w:bookmarkStart w:id="221" w:name="_Toc18040"/>
      <w:bookmarkStart w:id="222" w:name="_Toc18374"/>
      <w:bookmarkStart w:id="223" w:name="_Hlk10025701"/>
      <w:r>
        <w:rPr>
          <w:rFonts w:hint="eastAsia" w:ascii="宋体" w:hAnsi="宋体" w:eastAsia="宋体" w:cs="宋体"/>
          <w:color w:val="auto"/>
          <w:sz w:val="24"/>
          <w:szCs w:val="24"/>
          <w:highlight w:val="none"/>
        </w:rPr>
        <w:t>4. 政府采购政策</w:t>
      </w:r>
      <w:bookmarkEnd w:id="214"/>
      <w:bookmarkEnd w:id="215"/>
      <w:bookmarkEnd w:id="216"/>
      <w:bookmarkEnd w:id="217"/>
      <w:bookmarkEnd w:id="218"/>
      <w:bookmarkEnd w:id="219"/>
      <w:bookmarkEnd w:id="220"/>
      <w:bookmarkEnd w:id="221"/>
      <w:bookmarkEnd w:id="222"/>
    </w:p>
    <w:p w14:paraId="7A807CE8">
      <w:pPr>
        <w:pStyle w:val="4"/>
        <w:spacing w:before="0"/>
        <w:rPr>
          <w:rFonts w:hint="eastAsia" w:ascii="宋体" w:hAnsi="宋体" w:eastAsia="宋体" w:cs="宋体"/>
          <w:color w:val="auto"/>
          <w:sz w:val="24"/>
          <w:szCs w:val="24"/>
          <w:highlight w:val="none"/>
        </w:rPr>
      </w:pPr>
      <w:bookmarkStart w:id="224" w:name="_Toc8168241"/>
      <w:bookmarkStart w:id="225" w:name="_Toc55305299"/>
      <w:bookmarkStart w:id="226" w:name="_Toc7218"/>
      <w:bookmarkStart w:id="227" w:name="_Toc14863"/>
      <w:bookmarkStart w:id="228" w:name="_Toc32072"/>
      <w:bookmarkStart w:id="229" w:name="_Toc56372942"/>
      <w:bookmarkStart w:id="230" w:name="_Hlk65018654"/>
      <w:r>
        <w:rPr>
          <w:rFonts w:hint="eastAsia" w:ascii="宋体" w:hAnsi="宋体" w:eastAsia="宋体" w:cs="宋体"/>
          <w:color w:val="auto"/>
          <w:sz w:val="24"/>
          <w:szCs w:val="24"/>
          <w:highlight w:val="none"/>
        </w:rPr>
        <w:t>4.1中小企业</w:t>
      </w:r>
      <w:bookmarkEnd w:id="224"/>
      <w:bookmarkEnd w:id="225"/>
      <w:bookmarkEnd w:id="226"/>
      <w:bookmarkEnd w:id="227"/>
      <w:bookmarkEnd w:id="228"/>
      <w:bookmarkEnd w:id="229"/>
    </w:p>
    <w:p w14:paraId="2E44D4AF">
      <w:pPr>
        <w:spacing w:line="4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4.1.1</w:t>
      </w:r>
      <w:bookmarkStart w:id="231" w:name="_Toc29962"/>
      <w:bookmarkStart w:id="232" w:name="_Toc12049"/>
      <w:bookmarkStart w:id="233" w:name="_Toc8168242"/>
      <w:r>
        <w:rPr>
          <w:rFonts w:hint="eastAsia" w:ascii="宋体" w:hAnsi="宋体" w:eastAsia="宋体" w:cs="宋体"/>
          <w:color w:val="auto"/>
          <w:sz w:val="24"/>
          <w:highlight w:val="none"/>
        </w:rPr>
        <w:t>请投标人根据“国家统计局关于印发</w:t>
      </w:r>
      <w:r>
        <w:rPr>
          <w:rFonts w:hint="eastAsia" w:ascii="宋体" w:hAnsi="宋体" w:eastAsia="宋体" w:cs="宋体"/>
          <w:color w:val="auto"/>
          <w:sz w:val="24"/>
          <w:szCs w:val="21"/>
          <w:highlight w:val="none"/>
        </w:rPr>
        <w:t>《关于进一步加大政府采购支持中小企业力度的通知》（财库〔2022〕19号）</w:t>
      </w:r>
      <w:r>
        <w:rPr>
          <w:rFonts w:hint="eastAsia" w:ascii="宋体" w:hAnsi="宋体" w:eastAsia="宋体" w:cs="宋体"/>
          <w:color w:val="auto"/>
          <w:sz w:val="24"/>
          <w:highlight w:val="none"/>
        </w:rPr>
        <w:t>、</w:t>
      </w:r>
      <w:r>
        <w:rPr>
          <w:rFonts w:hint="eastAsia" w:ascii="宋体" w:hAnsi="宋体" w:eastAsia="宋体" w:cs="宋体"/>
          <w:color w:val="auto"/>
          <w:sz w:val="24"/>
          <w:szCs w:val="21"/>
          <w:highlight w:val="none"/>
        </w:rPr>
        <w:t>《关于印发中小企业划型标准规定的通知》（工信部联企业〔2011〕300号）</w:t>
      </w:r>
      <w:r>
        <w:rPr>
          <w:rFonts w:hint="eastAsia" w:ascii="宋体" w:hAnsi="宋体" w:eastAsia="宋体" w:cs="宋体"/>
          <w:color w:val="auto"/>
          <w:sz w:val="24"/>
          <w:highlight w:val="none"/>
        </w:rPr>
        <w:t>的规定，提供《中小企业声明函》，未提供的在价格评分时不对投标报价进行扣除。投标人对《中小企业声明函》的真实性负责。</w:t>
      </w:r>
    </w:p>
    <w:p w14:paraId="219FFDF1">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4.1.2各行业划型标准为： </w:t>
      </w:r>
    </w:p>
    <w:p w14:paraId="11DDBB27">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（一）农、林、牧、渔业。营业收入20000万元以下的为中小微型企业。其中， </w:t>
      </w:r>
    </w:p>
    <w:p w14:paraId="02618E47">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营业收入500万元及以上的为中型企业，营业收入50万元及以上的为小型企业，营业收入50万元以下的为微型企业。 </w:t>
      </w:r>
    </w:p>
    <w:p w14:paraId="739BFBBA">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（二）工业。从业人员1000人以下或营业收入40000万元以下的为中小微型企 </w:t>
      </w:r>
    </w:p>
    <w:p w14:paraId="421508C8">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业。其中，从业人员300人及以上，且营业收入2000万元及以上的为中型企业；从业人员20人及以上，且营业收入300万元及以上的为小型企业；从业人员20人以下或营业收入300万元以下的为微型企业。 </w:t>
      </w:r>
    </w:p>
    <w:p w14:paraId="3BFEB4F3">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（三）建筑业。营业收入80000万元以下或资产总额80000万元以下的为中小微 </w:t>
      </w:r>
    </w:p>
    <w:p w14:paraId="3570B561">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型企业。其中，营业收入6000万元及以上，且资产总额5000万元及以上的为中型企业；营业收入300万元及以上，且资产总额300万元及以上的为小型企业；营业收入300万元以下或资产总额300万元以下的为微型企业。 </w:t>
      </w:r>
    </w:p>
    <w:p w14:paraId="3FEB21AE">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（四）批发业。从业人员200人以下或营业收入40000万元以下的为中小微型企 </w:t>
      </w:r>
    </w:p>
    <w:p w14:paraId="3A77E914">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业。其中，从业人员20人及以上，且营业收入5000万元及以上的为中型企业；从业人员5人及以上，且营业收入1000万元及以上的为小型企业；从业人员5人以下或营业收入1000万元以下的为微型企业。 </w:t>
      </w:r>
    </w:p>
    <w:p w14:paraId="25356814">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（五）零售业。从业人员300人以下或营业收入20000万元以下的为中小微型企 </w:t>
      </w:r>
    </w:p>
    <w:p w14:paraId="0CE68981">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业。其中，从业人员50人及以上，且营业收入500万元及以上的为中型企业；从业人员10人及以上，且营业收入100万元及以上的为小型企业；从业人员10人以下或营业收入100万元以下的为微型企业。 </w:t>
      </w:r>
    </w:p>
    <w:p w14:paraId="0335E339">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 </w:t>
      </w:r>
    </w:p>
    <w:p w14:paraId="455AAE84">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（七）仓储业。从业人员200人以下或营业收入30000万元以下的为中小微型企 </w:t>
      </w:r>
    </w:p>
    <w:p w14:paraId="42E5C942">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业。其中，从业人员100人及以上，且营业收入1000万元及以上的为中型企业；从业人员20人及以上，且营业收入100万元及以上的为小型企业；从业人员20人以下或营业收入100万元以下的为微型企业。 </w:t>
      </w:r>
    </w:p>
    <w:p w14:paraId="0466C884">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 </w:t>
      </w:r>
    </w:p>
    <w:p w14:paraId="762713C4">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（九）住宿业。从业人员300人以下或营业收入10000万元以下的为中小微型企 </w:t>
      </w:r>
    </w:p>
    <w:p w14:paraId="542E3FA9">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业。其中，从业人员100人及以上，且营业收入2000万元及以上的为中型企业；从业人员10人及以上，且营业收入100万元及以上的为小型企业；从业人员10人以下或营业收入100万元以下的为微型企业。 </w:t>
      </w:r>
    </w:p>
    <w:p w14:paraId="0D4D212C">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（十）餐饮业。从业人员300人以下或营业收入10000万元以下的为中小微型企 </w:t>
      </w:r>
    </w:p>
    <w:p w14:paraId="62FE423D">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业。其中，从业人员100人及以上，且营业收入2000万元及以上的为中型企业；从业人员10人及以上，且营业收入100万元及以上的为小型企业；从业人员10人以下或营业收入100万元以下的为微型企业。 </w:t>
      </w:r>
    </w:p>
    <w:p w14:paraId="4F401346">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（十一）信息传输业。从业人员2000人以下或营业收入100000万元以下的为中 </w:t>
      </w:r>
    </w:p>
    <w:p w14:paraId="68303A98">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小微型企业。其中，从业人员100人及以上，且营业收入1000万元及以上的为中型企业；从业人员10人及以上，且营业收入100万元及以上的为小型企业；从业人员10人以下或营业收入100万元以下的为微型企业。 </w:t>
      </w:r>
    </w:p>
    <w:p w14:paraId="1D44D514">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（十二）软件和信息技术服务业。从业人员300人以下或营业收入10000万元以 </w:t>
      </w:r>
    </w:p>
    <w:p w14:paraId="74AF1D67">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下的为中小微型企业。其中，从业人员100人及以上，且营业收入1000万元及以上的为中型企业；从业人员10人及以上，且营业收入50万元及以上的为小型企业；从业人员10人以下或营业收入50万元以下的为微型企业。 </w:t>
      </w:r>
    </w:p>
    <w:p w14:paraId="7D080102">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 </w:t>
      </w:r>
    </w:p>
    <w:p w14:paraId="371BAF06">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（十四）物业管理。从业人员1000人以下或营业收入5000万元以下的为中小微 </w:t>
      </w:r>
    </w:p>
    <w:p w14:paraId="3C16586A">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型企业。其中，从业人员300人及以上，且营业收入1000万元及以上的为中型企业；从业人员100人及以上，且营业收入500万元及以上的为小型企业；从业人员100人以下或营业收入500万元以下的为微型企业。 </w:t>
      </w:r>
    </w:p>
    <w:p w14:paraId="404AAF2D">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 </w:t>
      </w:r>
    </w:p>
    <w:p w14:paraId="0C2F34EE">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（十六）其他未列明行业。从业人员300人以下的为中小微型企业。其中，从业 </w:t>
      </w:r>
    </w:p>
    <w:p w14:paraId="0A0E514D">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人员100人及以上的为中型企业；从业人员10人及以上的为小型企业；从业人员10人以下的为微型企业。</w:t>
      </w:r>
    </w:p>
    <w:p w14:paraId="6251AB59">
      <w:pPr>
        <w:pStyle w:val="4"/>
        <w:spacing w:before="0"/>
        <w:rPr>
          <w:rFonts w:hint="eastAsia" w:ascii="宋体" w:hAnsi="宋体" w:eastAsia="宋体" w:cs="宋体"/>
          <w:color w:val="auto"/>
          <w:sz w:val="24"/>
          <w:szCs w:val="24"/>
          <w:highlight w:val="none"/>
        </w:rPr>
      </w:pPr>
      <w:bookmarkStart w:id="234" w:name="_Toc22290"/>
      <w:r>
        <w:rPr>
          <w:rFonts w:hint="eastAsia" w:ascii="宋体" w:hAnsi="宋体" w:eastAsia="宋体" w:cs="宋体"/>
          <w:color w:val="auto"/>
          <w:sz w:val="24"/>
          <w:szCs w:val="24"/>
          <w:highlight w:val="none"/>
        </w:rPr>
        <w:t>4.2监狱企业</w:t>
      </w:r>
      <w:bookmarkEnd w:id="231"/>
      <w:bookmarkEnd w:id="232"/>
      <w:bookmarkEnd w:id="233"/>
      <w:bookmarkEnd w:id="234"/>
    </w:p>
    <w:p w14:paraId="72274DE5">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4.2.1根据财政部《司法部关于政府采购支持监狱企业发展有关问题》的通知（财库〔2014〕68号），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14:paraId="68E43EDA">
      <w:pPr>
        <w:pStyle w:val="4"/>
        <w:spacing w:before="0"/>
        <w:rPr>
          <w:rFonts w:hint="eastAsia" w:ascii="宋体" w:hAnsi="宋体" w:eastAsia="宋体" w:cs="宋体"/>
          <w:color w:val="auto"/>
          <w:sz w:val="24"/>
          <w:szCs w:val="24"/>
          <w:highlight w:val="none"/>
        </w:rPr>
      </w:pPr>
      <w:bookmarkStart w:id="235" w:name="_Toc19200"/>
      <w:bookmarkStart w:id="236" w:name="_Toc8168243"/>
      <w:bookmarkStart w:id="237" w:name="_Toc18529"/>
      <w:bookmarkStart w:id="238" w:name="_Toc14287"/>
      <w:r>
        <w:rPr>
          <w:rFonts w:hint="eastAsia" w:ascii="宋体" w:hAnsi="宋体" w:eastAsia="宋体" w:cs="宋体"/>
          <w:color w:val="auto"/>
          <w:sz w:val="24"/>
          <w:szCs w:val="24"/>
          <w:highlight w:val="none"/>
        </w:rPr>
        <w:t>4.3残疾人福利性单位</w:t>
      </w:r>
      <w:bookmarkEnd w:id="235"/>
      <w:bookmarkEnd w:id="236"/>
      <w:bookmarkEnd w:id="237"/>
      <w:bookmarkEnd w:id="238"/>
    </w:p>
    <w:p w14:paraId="174C2A5B">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4.3.1根据《财政部 民政部 中国残疾人联合会关于促进残疾人就业政府采购政策的通知》，享受政府采购支持政策的残疾人福利性单位应当同时满足以下条件：</w:t>
      </w:r>
    </w:p>
    <w:p w14:paraId="6001B3E2">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（1）安置的残疾人占本单位在职职工人数的比例不低于25%（含25%），并且安置的残疾人人数不少于10人（含10人）；</w:t>
      </w:r>
    </w:p>
    <w:p w14:paraId="3C5EC23D">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（2）依法与安置的每位残疾人签订了一年以上（含一年）的劳动合同或服务协议；</w:t>
      </w:r>
    </w:p>
    <w:p w14:paraId="1A4E6F89">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（3）为安置的每位残疾人按月足额缴纳了基本养老保险、基本医疗保险、失业保险、工伤保险和生育保险等社会保险费；</w:t>
      </w:r>
    </w:p>
    <w:p w14:paraId="4E199849">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（4）通过银行等金融机构向安置的每位残疾人，按月支付了不低于单位所在区县适用的经省级人民政府批准的月最低工资标准的工资；</w:t>
      </w:r>
    </w:p>
    <w:p w14:paraId="46F4073B">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（5）提供本单位制造的货物、承担的工程或者服务（以下简称产品），或者提供其他残疾人福利性单位制造的货物（不包括使用非残疾人福利性单位注册商标的货物）。</w:t>
      </w:r>
    </w:p>
    <w:p w14:paraId="1AC62CB1">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3FAD3600">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4.3.2符合条件的残疾人福利性单位在参加政府采购活动时，应当提供《残疾人福利性单位声明函》，并对声明的真实性负责。</w:t>
      </w:r>
      <w:bookmarkEnd w:id="223"/>
      <w:bookmarkEnd w:id="230"/>
    </w:p>
    <w:p w14:paraId="68DE0301">
      <w:pPr>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p>
    <w:p w14:paraId="0DFEBA7B">
      <w:pPr>
        <w:pStyle w:val="2"/>
        <w:spacing w:line="240" w:lineRule="auto"/>
        <w:jc w:val="center"/>
        <w:rPr>
          <w:rFonts w:hint="eastAsia" w:ascii="宋体" w:hAnsi="宋体" w:eastAsia="宋体" w:cs="宋体"/>
          <w:bCs/>
          <w:color w:val="auto"/>
          <w:sz w:val="36"/>
          <w:highlight w:val="none"/>
        </w:rPr>
      </w:pPr>
      <w:bookmarkStart w:id="239" w:name="_Toc28597"/>
      <w:bookmarkStart w:id="240" w:name="_Toc22302"/>
      <w:bookmarkStart w:id="241" w:name="_Toc26881"/>
      <w:r>
        <w:rPr>
          <w:rFonts w:hint="eastAsia" w:ascii="宋体" w:hAnsi="宋体" w:eastAsia="宋体" w:cs="宋体"/>
          <w:bCs/>
          <w:color w:val="auto"/>
          <w:sz w:val="36"/>
          <w:highlight w:val="none"/>
        </w:rPr>
        <w:t>第</w:t>
      </w:r>
      <w:r>
        <w:rPr>
          <w:rFonts w:hint="eastAsia" w:ascii="宋体" w:hAnsi="宋体" w:eastAsia="宋体" w:cs="宋体"/>
          <w:bCs/>
          <w:color w:val="auto"/>
          <w:sz w:val="36"/>
          <w:highlight w:val="none"/>
          <w:lang w:val="en-US" w:eastAsia="zh-CN"/>
        </w:rPr>
        <w:t>七</w:t>
      </w:r>
      <w:r>
        <w:rPr>
          <w:rFonts w:hint="eastAsia" w:ascii="宋体" w:hAnsi="宋体" w:eastAsia="宋体" w:cs="宋体"/>
          <w:bCs/>
          <w:color w:val="auto"/>
          <w:sz w:val="36"/>
          <w:highlight w:val="none"/>
        </w:rPr>
        <w:t>章  投标文件格式</w:t>
      </w:r>
      <w:bookmarkEnd w:id="239"/>
      <w:bookmarkEnd w:id="240"/>
      <w:bookmarkEnd w:id="241"/>
      <w:bookmarkStart w:id="242" w:name="_Toc8168204"/>
    </w:p>
    <w:p w14:paraId="37B963A9">
      <w:pPr>
        <w:rPr>
          <w:rFonts w:hint="eastAsia" w:ascii="宋体" w:hAnsi="宋体" w:eastAsia="宋体" w:cs="宋体"/>
          <w:color w:val="auto"/>
          <w:highlight w:val="none"/>
        </w:rPr>
      </w:pPr>
    </w:p>
    <w:p w14:paraId="6B61CF06">
      <w:pPr>
        <w:jc w:val="center"/>
        <w:rPr>
          <w:rFonts w:hint="eastAsia" w:ascii="宋体" w:hAnsi="宋体" w:eastAsia="宋体" w:cs="宋体"/>
          <w:b/>
          <w:bCs/>
          <w:iCs/>
          <w:color w:val="auto"/>
          <w:kern w:val="36"/>
          <w:sz w:val="48"/>
          <w:szCs w:val="48"/>
          <w:highlight w:val="none"/>
          <w:lang w:eastAsia="zh-CN"/>
        </w:rPr>
      </w:pPr>
      <w:r>
        <w:rPr>
          <w:rFonts w:hint="eastAsia" w:ascii="宋体" w:hAnsi="宋体" w:eastAsia="宋体" w:cs="宋体"/>
          <w:b/>
          <w:bCs/>
          <w:iCs/>
          <w:color w:val="auto"/>
          <w:kern w:val="36"/>
          <w:sz w:val="48"/>
          <w:szCs w:val="48"/>
          <w:highlight w:val="none"/>
          <w:lang w:eastAsia="zh-CN"/>
        </w:rPr>
        <w:t>玉溪职业技术学院（云南省玉溪工业财贸学校）改善办学条件采购项目</w:t>
      </w:r>
    </w:p>
    <w:p w14:paraId="223015FB">
      <w:pPr>
        <w:jc w:val="center"/>
        <w:rPr>
          <w:rFonts w:hint="eastAsia" w:ascii="宋体" w:hAnsi="宋体" w:eastAsia="宋体" w:cs="宋体"/>
          <w:b/>
          <w:bCs/>
          <w:iCs/>
          <w:color w:val="auto"/>
          <w:kern w:val="36"/>
          <w:sz w:val="36"/>
          <w:szCs w:val="36"/>
          <w:highlight w:val="none"/>
        </w:rPr>
      </w:pPr>
    </w:p>
    <w:p w14:paraId="682E7AF0">
      <w:pPr>
        <w:pStyle w:val="15"/>
        <w:rPr>
          <w:rFonts w:hint="eastAsia" w:ascii="宋体" w:hAnsi="宋体" w:eastAsia="宋体" w:cs="宋体"/>
          <w:color w:val="auto"/>
          <w:highlight w:val="none"/>
        </w:rPr>
      </w:pPr>
    </w:p>
    <w:p w14:paraId="50F13B24">
      <w:pPr>
        <w:rPr>
          <w:rFonts w:hint="eastAsia" w:ascii="宋体" w:hAnsi="宋体" w:eastAsia="宋体" w:cs="宋体"/>
          <w:color w:val="auto"/>
          <w:highlight w:val="none"/>
        </w:rPr>
      </w:pPr>
    </w:p>
    <w:p w14:paraId="5B02B5C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iCs/>
          <w:color w:val="auto"/>
          <w:kern w:val="36"/>
          <w:sz w:val="32"/>
          <w:szCs w:val="32"/>
          <w:highlight w:val="none"/>
        </w:rPr>
      </w:pPr>
      <w:r>
        <w:rPr>
          <w:rFonts w:hint="eastAsia" w:ascii="宋体" w:hAnsi="宋体" w:eastAsia="宋体" w:cs="宋体"/>
          <w:b/>
          <w:bCs/>
          <w:iCs/>
          <w:color w:val="auto"/>
          <w:kern w:val="36"/>
          <w:sz w:val="32"/>
          <w:szCs w:val="32"/>
          <w:highlight w:val="none"/>
        </w:rPr>
        <w:t>项目编号：</w:t>
      </w:r>
    </w:p>
    <w:p w14:paraId="2FFBFFC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iCs/>
          <w:color w:val="auto"/>
          <w:kern w:val="36"/>
          <w:sz w:val="30"/>
          <w:szCs w:val="30"/>
          <w:highlight w:val="none"/>
          <w:lang w:val="en-US" w:eastAsia="zh-CN"/>
        </w:rPr>
      </w:pPr>
      <w:r>
        <w:rPr>
          <w:rFonts w:hint="eastAsia" w:ascii="宋体" w:hAnsi="宋体" w:eastAsia="宋体" w:cs="宋体"/>
          <w:b/>
          <w:bCs/>
          <w:iCs/>
          <w:color w:val="auto"/>
          <w:kern w:val="36"/>
          <w:sz w:val="32"/>
          <w:szCs w:val="32"/>
          <w:highlight w:val="none"/>
          <w:lang w:val="en-US" w:eastAsia="zh-CN"/>
        </w:rPr>
        <w:t>标段号及名称：</w:t>
      </w:r>
    </w:p>
    <w:p w14:paraId="75EB3114">
      <w:pPr>
        <w:rPr>
          <w:rFonts w:hint="eastAsia" w:ascii="宋体" w:hAnsi="宋体" w:eastAsia="宋体" w:cs="宋体"/>
          <w:b/>
          <w:bCs/>
          <w:color w:val="auto"/>
          <w:sz w:val="72"/>
          <w:szCs w:val="144"/>
          <w:highlight w:val="none"/>
        </w:rPr>
      </w:pPr>
    </w:p>
    <w:p w14:paraId="6BC573F4">
      <w:pPr>
        <w:jc w:val="center"/>
        <w:rPr>
          <w:rFonts w:hint="eastAsia" w:ascii="宋体" w:hAnsi="宋体" w:eastAsia="宋体" w:cs="宋体"/>
          <w:b/>
          <w:bCs/>
          <w:color w:val="auto"/>
          <w:sz w:val="72"/>
          <w:szCs w:val="144"/>
          <w:highlight w:val="none"/>
        </w:rPr>
      </w:pPr>
    </w:p>
    <w:p w14:paraId="1560C773">
      <w:pPr>
        <w:jc w:val="center"/>
        <w:rPr>
          <w:rFonts w:hint="eastAsia" w:ascii="宋体" w:hAnsi="宋体" w:eastAsia="宋体" w:cs="宋体"/>
          <w:b/>
          <w:bCs/>
          <w:color w:val="auto"/>
          <w:sz w:val="72"/>
          <w:szCs w:val="144"/>
          <w:highlight w:val="none"/>
        </w:rPr>
      </w:pPr>
      <w:r>
        <w:rPr>
          <w:rFonts w:hint="eastAsia" w:ascii="宋体" w:hAnsi="宋体" w:eastAsia="宋体" w:cs="宋体"/>
          <w:b/>
          <w:bCs/>
          <w:color w:val="auto"/>
          <w:sz w:val="72"/>
          <w:szCs w:val="144"/>
          <w:highlight w:val="none"/>
        </w:rPr>
        <w:t>投 标 文 件</w:t>
      </w:r>
    </w:p>
    <w:p w14:paraId="6AA8F867">
      <w:pPr>
        <w:pStyle w:val="12"/>
        <w:rPr>
          <w:rFonts w:hint="eastAsia" w:ascii="宋体" w:hAnsi="宋体" w:eastAsia="宋体" w:cs="宋体"/>
          <w:b/>
          <w:bCs/>
          <w:iCs/>
          <w:color w:val="auto"/>
          <w:kern w:val="36"/>
          <w:sz w:val="32"/>
          <w:szCs w:val="32"/>
          <w:highlight w:val="none"/>
        </w:rPr>
      </w:pPr>
    </w:p>
    <w:p w14:paraId="32B2C1B7">
      <w:pPr>
        <w:rPr>
          <w:rFonts w:hint="eastAsia" w:ascii="宋体" w:hAnsi="宋体" w:eastAsia="宋体" w:cs="宋体"/>
          <w:b/>
          <w:bCs/>
          <w:iCs/>
          <w:color w:val="auto"/>
          <w:kern w:val="36"/>
          <w:sz w:val="32"/>
          <w:szCs w:val="32"/>
          <w:highlight w:val="none"/>
        </w:rPr>
      </w:pPr>
    </w:p>
    <w:p w14:paraId="1DDA62FE">
      <w:pPr>
        <w:pStyle w:val="12"/>
        <w:rPr>
          <w:rFonts w:hint="eastAsia" w:ascii="宋体" w:hAnsi="宋体" w:eastAsia="宋体" w:cs="宋体"/>
          <w:b/>
          <w:bCs/>
          <w:iCs/>
          <w:color w:val="auto"/>
          <w:kern w:val="36"/>
          <w:sz w:val="32"/>
          <w:szCs w:val="32"/>
          <w:highlight w:val="none"/>
        </w:rPr>
      </w:pPr>
    </w:p>
    <w:p w14:paraId="5D9CD282">
      <w:pPr>
        <w:rPr>
          <w:rFonts w:hint="eastAsia" w:ascii="宋体" w:hAnsi="宋体" w:eastAsia="宋体" w:cs="宋体"/>
          <w:color w:val="auto"/>
          <w:highlight w:val="none"/>
        </w:rPr>
      </w:pPr>
    </w:p>
    <w:p w14:paraId="09BA4582">
      <w:pPr>
        <w:rPr>
          <w:rFonts w:hint="eastAsia" w:ascii="宋体" w:hAnsi="宋体" w:eastAsia="宋体" w:cs="宋体"/>
          <w:color w:val="auto"/>
          <w:highlight w:val="none"/>
        </w:rPr>
      </w:pPr>
    </w:p>
    <w:p w14:paraId="6521DF47">
      <w:pPr>
        <w:pStyle w:val="12"/>
        <w:rPr>
          <w:rFonts w:hint="eastAsia" w:ascii="宋体" w:hAnsi="宋体" w:eastAsia="宋体" w:cs="宋体"/>
          <w:b/>
          <w:bCs/>
          <w:iCs/>
          <w:color w:val="auto"/>
          <w:kern w:val="36"/>
          <w:sz w:val="32"/>
          <w:szCs w:val="32"/>
          <w:highlight w:val="none"/>
        </w:rPr>
      </w:pPr>
    </w:p>
    <w:p w14:paraId="606A7741">
      <w:pPr>
        <w:spacing w:line="400" w:lineRule="exact"/>
        <w:jc w:val="left"/>
        <w:rPr>
          <w:rFonts w:hint="eastAsia" w:ascii="宋体" w:hAnsi="宋体" w:eastAsia="宋体" w:cs="宋体"/>
          <w:b/>
          <w:color w:val="auto"/>
          <w:sz w:val="24"/>
          <w:highlight w:val="none"/>
        </w:rPr>
      </w:pPr>
    </w:p>
    <w:p w14:paraId="4A0BABFF">
      <w:pPr>
        <w:spacing w:line="480" w:lineRule="auto"/>
        <w:jc w:val="left"/>
        <w:rPr>
          <w:rFonts w:hint="eastAsia" w:ascii="宋体" w:hAnsi="宋体" w:eastAsia="宋体" w:cs="宋体"/>
          <w:b/>
          <w:color w:val="auto"/>
          <w:sz w:val="28"/>
          <w:szCs w:val="28"/>
          <w:highlight w:val="none"/>
          <w:u w:val="single"/>
        </w:rPr>
      </w:pPr>
      <w:r>
        <w:rPr>
          <w:rFonts w:hint="eastAsia" w:ascii="宋体" w:hAnsi="宋体" w:eastAsia="宋体" w:cs="宋体"/>
          <w:b/>
          <w:color w:val="auto"/>
          <w:sz w:val="28"/>
          <w:szCs w:val="28"/>
          <w:highlight w:val="none"/>
        </w:rPr>
        <w:t>投标人：</w:t>
      </w:r>
      <w:r>
        <w:rPr>
          <w:rFonts w:hint="eastAsia" w:ascii="宋体" w:hAnsi="宋体" w:eastAsia="宋体" w:cs="宋体"/>
          <w:b/>
          <w:color w:val="auto"/>
          <w:sz w:val="28"/>
          <w:szCs w:val="28"/>
          <w:highlight w:val="none"/>
          <w:u w:val="single"/>
        </w:rPr>
        <w:t xml:space="preserve">                             </w:t>
      </w:r>
      <w:r>
        <w:rPr>
          <w:rFonts w:hint="eastAsia" w:ascii="宋体" w:hAnsi="宋体" w:eastAsia="宋体" w:cs="宋体"/>
          <w:b/>
          <w:color w:val="auto"/>
          <w:sz w:val="28"/>
          <w:szCs w:val="28"/>
          <w:highlight w:val="none"/>
        </w:rPr>
        <w:t>(电子签章)</w:t>
      </w:r>
    </w:p>
    <w:p w14:paraId="718A3DD0">
      <w:pPr>
        <w:spacing w:line="480" w:lineRule="auto"/>
        <w:jc w:val="left"/>
        <w:rPr>
          <w:rFonts w:hint="eastAsia" w:ascii="宋体" w:hAnsi="宋体" w:eastAsia="宋体" w:cs="宋体"/>
          <w:b/>
          <w:color w:val="auto"/>
          <w:sz w:val="28"/>
          <w:szCs w:val="28"/>
          <w:highlight w:val="none"/>
          <w:u w:val="single"/>
        </w:rPr>
      </w:pPr>
      <w:r>
        <w:rPr>
          <w:rFonts w:hint="eastAsia" w:ascii="宋体" w:hAnsi="宋体" w:eastAsia="宋体" w:cs="宋体"/>
          <w:b/>
          <w:color w:val="auto"/>
          <w:sz w:val="28"/>
          <w:szCs w:val="28"/>
          <w:highlight w:val="none"/>
        </w:rPr>
        <w:t>法定代表人或其委托代理人：</w:t>
      </w:r>
      <w:r>
        <w:rPr>
          <w:rFonts w:hint="eastAsia" w:ascii="宋体" w:hAnsi="宋体" w:eastAsia="宋体" w:cs="宋体"/>
          <w:b/>
          <w:color w:val="auto"/>
          <w:sz w:val="28"/>
          <w:szCs w:val="28"/>
          <w:highlight w:val="none"/>
          <w:u w:val="single"/>
        </w:rPr>
        <w:t xml:space="preserve">          </w:t>
      </w:r>
      <w:r>
        <w:rPr>
          <w:rFonts w:hint="eastAsia" w:ascii="宋体" w:hAnsi="宋体" w:eastAsia="宋体" w:cs="宋体"/>
          <w:b/>
          <w:color w:val="auto"/>
          <w:sz w:val="28"/>
          <w:szCs w:val="28"/>
          <w:highlight w:val="none"/>
        </w:rPr>
        <w:t>(电子签章或签名)</w:t>
      </w:r>
    </w:p>
    <w:p w14:paraId="4498306A">
      <w:pPr>
        <w:spacing w:line="480" w:lineRule="auto"/>
        <w:jc w:val="left"/>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日期：</w:t>
      </w:r>
      <w:r>
        <w:rPr>
          <w:rFonts w:hint="eastAsia" w:ascii="宋体" w:hAnsi="宋体" w:eastAsia="宋体" w:cs="宋体"/>
          <w:b/>
          <w:color w:val="auto"/>
          <w:sz w:val="28"/>
          <w:szCs w:val="28"/>
          <w:highlight w:val="none"/>
          <w:u w:val="single"/>
        </w:rPr>
        <w:t xml:space="preserve">     </w:t>
      </w:r>
      <w:r>
        <w:rPr>
          <w:rFonts w:hint="eastAsia" w:ascii="宋体" w:hAnsi="宋体" w:eastAsia="宋体" w:cs="宋体"/>
          <w:b/>
          <w:color w:val="auto"/>
          <w:sz w:val="28"/>
          <w:szCs w:val="28"/>
          <w:highlight w:val="none"/>
        </w:rPr>
        <w:t>年</w:t>
      </w:r>
      <w:r>
        <w:rPr>
          <w:rFonts w:hint="eastAsia" w:ascii="宋体" w:hAnsi="宋体" w:eastAsia="宋体" w:cs="宋体"/>
          <w:b/>
          <w:color w:val="auto"/>
          <w:sz w:val="28"/>
          <w:szCs w:val="28"/>
          <w:highlight w:val="none"/>
          <w:u w:val="single"/>
        </w:rPr>
        <w:t xml:space="preserve">    </w:t>
      </w:r>
      <w:r>
        <w:rPr>
          <w:rFonts w:hint="eastAsia" w:ascii="宋体" w:hAnsi="宋体" w:eastAsia="宋体" w:cs="宋体"/>
          <w:b/>
          <w:color w:val="auto"/>
          <w:sz w:val="28"/>
          <w:szCs w:val="28"/>
          <w:highlight w:val="none"/>
        </w:rPr>
        <w:t>月</w:t>
      </w:r>
      <w:r>
        <w:rPr>
          <w:rFonts w:hint="eastAsia" w:ascii="宋体" w:hAnsi="宋体" w:eastAsia="宋体" w:cs="宋体"/>
          <w:b/>
          <w:color w:val="auto"/>
          <w:sz w:val="28"/>
          <w:szCs w:val="28"/>
          <w:highlight w:val="none"/>
          <w:u w:val="single"/>
        </w:rPr>
        <w:t xml:space="preserve">    </w:t>
      </w:r>
      <w:r>
        <w:rPr>
          <w:rFonts w:hint="eastAsia" w:ascii="宋体" w:hAnsi="宋体" w:eastAsia="宋体" w:cs="宋体"/>
          <w:b/>
          <w:color w:val="auto"/>
          <w:sz w:val="28"/>
          <w:szCs w:val="28"/>
          <w:highlight w:val="none"/>
        </w:rPr>
        <w:t>日</w:t>
      </w:r>
    </w:p>
    <w:p w14:paraId="7B93A4EB">
      <w:pPr>
        <w:jc w:val="center"/>
        <w:outlineLvl w:val="1"/>
        <w:rPr>
          <w:rFonts w:hint="eastAsia" w:ascii="宋体" w:hAnsi="宋体" w:eastAsia="宋体" w:cs="宋体"/>
          <w:color w:val="auto"/>
          <w:highlight w:val="none"/>
        </w:rPr>
      </w:pPr>
      <w:r>
        <w:rPr>
          <w:rFonts w:hint="eastAsia" w:ascii="宋体" w:hAnsi="宋体" w:eastAsia="宋体" w:cs="宋体"/>
          <w:color w:val="auto"/>
          <w:szCs w:val="28"/>
          <w:highlight w:val="none"/>
        </w:rPr>
        <w:br w:type="page"/>
      </w:r>
      <w:bookmarkStart w:id="243" w:name="_Toc39"/>
      <w:bookmarkStart w:id="244" w:name="_Toc26931"/>
      <w:bookmarkStart w:id="245" w:name="_Toc14181"/>
      <w:bookmarkStart w:id="246" w:name="_Toc25400"/>
      <w:bookmarkStart w:id="247" w:name="_Toc117716565"/>
      <w:bookmarkStart w:id="248" w:name="_Toc4450"/>
      <w:bookmarkStart w:id="249" w:name="_Toc140445719"/>
      <w:r>
        <w:rPr>
          <w:rStyle w:val="136"/>
          <w:rFonts w:hint="eastAsia" w:ascii="宋体" w:hAnsi="宋体" w:eastAsia="宋体" w:cs="宋体"/>
          <w:color w:val="auto"/>
          <w:highlight w:val="none"/>
        </w:rPr>
        <w:t>一、</w:t>
      </w:r>
      <w:bookmarkStart w:id="250" w:name="_Toc23275"/>
      <w:r>
        <w:rPr>
          <w:rStyle w:val="136"/>
          <w:rFonts w:hint="eastAsia" w:ascii="宋体" w:hAnsi="宋体" w:eastAsia="宋体" w:cs="宋体"/>
          <w:color w:val="auto"/>
          <w:highlight w:val="none"/>
        </w:rPr>
        <w:t>投标报价一览表</w:t>
      </w:r>
      <w:bookmarkEnd w:id="243"/>
      <w:bookmarkEnd w:id="244"/>
      <w:bookmarkEnd w:id="245"/>
      <w:bookmarkEnd w:id="246"/>
      <w:bookmarkEnd w:id="250"/>
    </w:p>
    <w:p w14:paraId="7071FB51">
      <w:pPr>
        <w:pStyle w:val="21"/>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项目名称：</w:t>
      </w:r>
      <w:r>
        <w:rPr>
          <w:rFonts w:hint="eastAsia" w:ascii="宋体" w:hAnsi="宋体" w:eastAsia="宋体" w:cs="宋体"/>
          <w:b/>
          <w:color w:val="auto"/>
          <w:sz w:val="24"/>
          <w:szCs w:val="24"/>
          <w:highlight w:val="none"/>
          <w:u w:val="single"/>
        </w:rPr>
        <w:t xml:space="preserve">                         </w:t>
      </w:r>
    </w:p>
    <w:p w14:paraId="61DFABC0">
      <w:pPr>
        <w:spacing w:line="360" w:lineRule="auto"/>
        <w:rPr>
          <w:rFonts w:hint="eastAsia" w:ascii="宋体" w:hAnsi="宋体" w:eastAsia="宋体" w:cs="宋体"/>
          <w:color w:val="auto"/>
          <w:sz w:val="24"/>
          <w:highlight w:val="none"/>
        </w:rPr>
      </w:pPr>
      <w:r>
        <w:rPr>
          <w:rFonts w:hint="eastAsia" w:ascii="宋体" w:hAnsi="宋体" w:eastAsia="宋体" w:cs="宋体"/>
          <w:b/>
          <w:color w:val="auto"/>
          <w:sz w:val="24"/>
          <w:highlight w:val="none"/>
        </w:rPr>
        <w:t>项目编号：</w:t>
      </w:r>
      <w:r>
        <w:rPr>
          <w:rFonts w:hint="eastAsia" w:ascii="宋体" w:hAnsi="宋体" w:eastAsia="宋体" w:cs="宋体"/>
          <w:b/>
          <w:color w:val="auto"/>
          <w:sz w:val="24"/>
          <w:highlight w:val="none"/>
          <w:u w:val="single"/>
        </w:rPr>
        <w:t xml:space="preserve">                         </w:t>
      </w:r>
      <w:r>
        <w:rPr>
          <w:rFonts w:hint="eastAsia" w:ascii="宋体" w:hAnsi="宋体" w:eastAsia="宋体" w:cs="宋体"/>
          <w:b/>
          <w:color w:val="auto"/>
          <w:sz w:val="24"/>
          <w:highlight w:val="none"/>
        </w:rPr>
        <w:t xml:space="preserve">   </w:t>
      </w:r>
      <w:r>
        <w:rPr>
          <w:rFonts w:hint="eastAsia" w:ascii="宋体" w:hAnsi="宋体" w:eastAsia="宋体" w:cs="宋体"/>
          <w:b/>
          <w:color w:val="auto"/>
          <w:sz w:val="24"/>
          <w:highlight w:val="none"/>
          <w:lang w:val="en-US" w:eastAsia="zh-CN"/>
        </w:rPr>
        <w:t>标段号及名称</w:t>
      </w:r>
      <w:r>
        <w:rPr>
          <w:rFonts w:hint="eastAsia" w:ascii="宋体" w:hAnsi="宋体" w:eastAsia="宋体" w:cs="宋体"/>
          <w:b/>
          <w:color w:val="auto"/>
          <w:sz w:val="24"/>
          <w:highlight w:val="none"/>
        </w:rPr>
        <w:t>：</w:t>
      </w:r>
      <w:r>
        <w:rPr>
          <w:rFonts w:hint="eastAsia" w:ascii="宋体" w:hAnsi="宋体" w:eastAsia="宋体" w:cs="宋体"/>
          <w:b/>
          <w:color w:val="auto"/>
          <w:sz w:val="24"/>
          <w:highlight w:val="none"/>
          <w:u w:val="single"/>
          <w:lang w:val="en-US" w:eastAsia="zh-CN"/>
        </w:rPr>
        <w:t xml:space="preserve">              </w:t>
      </w:r>
    </w:p>
    <w:tbl>
      <w:tblPr>
        <w:tblStyle w:val="42"/>
        <w:tblW w:w="90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09"/>
        <w:gridCol w:w="6461"/>
      </w:tblGrid>
      <w:tr w14:paraId="36B63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jc w:val="center"/>
        </w:trPr>
        <w:tc>
          <w:tcPr>
            <w:tcW w:w="2609" w:type="dxa"/>
            <w:vAlign w:val="center"/>
          </w:tcPr>
          <w:p w14:paraId="09808B2C">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投标总报价</w:t>
            </w:r>
          </w:p>
          <w:p w14:paraId="24643C9D">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（元）</w:t>
            </w:r>
          </w:p>
        </w:tc>
        <w:tc>
          <w:tcPr>
            <w:tcW w:w="6461" w:type="dxa"/>
            <w:vAlign w:val="center"/>
          </w:tcPr>
          <w:p w14:paraId="750342F9">
            <w:pPr>
              <w:spacing w:line="360"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小写：</w:t>
            </w:r>
            <w:r>
              <w:rPr>
                <w:rFonts w:hint="eastAsia" w:ascii="宋体" w:hAnsi="宋体" w:eastAsia="宋体" w:cs="宋体"/>
                <w:color w:val="auto"/>
                <w:sz w:val="24"/>
                <w:highlight w:val="none"/>
                <w:u w:val="single"/>
              </w:rPr>
              <w:t xml:space="preserve">                      </w:t>
            </w:r>
          </w:p>
          <w:p w14:paraId="0D7C4211">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大写：</w:t>
            </w:r>
            <w:r>
              <w:rPr>
                <w:rFonts w:hint="eastAsia" w:ascii="宋体" w:hAnsi="宋体" w:eastAsia="宋体" w:cs="宋体"/>
                <w:color w:val="auto"/>
                <w:sz w:val="24"/>
                <w:highlight w:val="none"/>
                <w:u w:val="single"/>
              </w:rPr>
              <w:t xml:space="preserve">                      </w:t>
            </w:r>
          </w:p>
        </w:tc>
      </w:tr>
      <w:tr w14:paraId="5E43B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jc w:val="center"/>
        </w:trPr>
        <w:tc>
          <w:tcPr>
            <w:tcW w:w="2609" w:type="dxa"/>
            <w:vAlign w:val="center"/>
          </w:tcPr>
          <w:p w14:paraId="4A87A2C4">
            <w:pPr>
              <w:tabs>
                <w:tab w:val="left" w:pos="480"/>
              </w:tabs>
              <w:autoSpaceDE w:val="0"/>
              <w:autoSpaceDN w:val="0"/>
              <w:adjustRightInd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rPr>
              <w:t>合同履行期限</w:t>
            </w:r>
          </w:p>
        </w:tc>
        <w:tc>
          <w:tcPr>
            <w:tcW w:w="6461" w:type="dxa"/>
            <w:vAlign w:val="center"/>
          </w:tcPr>
          <w:p w14:paraId="6054994D">
            <w:pPr>
              <w:widowControl/>
              <w:adjustRightInd w:val="0"/>
              <w:snapToGrid w:val="0"/>
              <w:spacing w:line="400" w:lineRule="atLeast"/>
              <w:rPr>
                <w:rFonts w:hint="eastAsia" w:ascii="宋体" w:hAnsi="宋体" w:eastAsia="宋体" w:cs="宋体"/>
                <w:color w:val="auto"/>
                <w:sz w:val="24"/>
                <w:highlight w:val="none"/>
              </w:rPr>
            </w:pPr>
          </w:p>
        </w:tc>
      </w:tr>
      <w:tr w14:paraId="2CB70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jc w:val="center"/>
        </w:trPr>
        <w:tc>
          <w:tcPr>
            <w:tcW w:w="2609" w:type="dxa"/>
            <w:vAlign w:val="center"/>
          </w:tcPr>
          <w:p w14:paraId="2FBDACDD">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lang w:bidi="ar"/>
              </w:rPr>
              <w:t>质量标准</w:t>
            </w:r>
          </w:p>
        </w:tc>
        <w:tc>
          <w:tcPr>
            <w:tcW w:w="6461" w:type="dxa"/>
            <w:vAlign w:val="center"/>
          </w:tcPr>
          <w:p w14:paraId="6052D1BD">
            <w:pPr>
              <w:spacing w:line="360" w:lineRule="auto"/>
              <w:jc w:val="left"/>
              <w:rPr>
                <w:rFonts w:hint="eastAsia" w:ascii="宋体" w:hAnsi="宋体" w:eastAsia="宋体" w:cs="宋体"/>
                <w:color w:val="auto"/>
                <w:sz w:val="24"/>
                <w:highlight w:val="none"/>
              </w:rPr>
            </w:pPr>
          </w:p>
        </w:tc>
      </w:tr>
      <w:tr w14:paraId="4B350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jc w:val="center"/>
        </w:trPr>
        <w:tc>
          <w:tcPr>
            <w:tcW w:w="2609" w:type="dxa"/>
            <w:vAlign w:val="center"/>
          </w:tcPr>
          <w:p w14:paraId="452E5617">
            <w:pPr>
              <w:spacing w:line="360" w:lineRule="auto"/>
              <w:jc w:val="cente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服务要求</w:t>
            </w:r>
          </w:p>
        </w:tc>
        <w:tc>
          <w:tcPr>
            <w:tcW w:w="6461" w:type="dxa"/>
            <w:vAlign w:val="center"/>
          </w:tcPr>
          <w:p w14:paraId="2D99B3CE">
            <w:pPr>
              <w:spacing w:line="360" w:lineRule="auto"/>
              <w:jc w:val="left"/>
              <w:rPr>
                <w:rFonts w:hint="eastAsia" w:ascii="宋体" w:hAnsi="宋体" w:eastAsia="宋体" w:cs="宋体"/>
                <w:color w:val="auto"/>
                <w:sz w:val="24"/>
                <w:highlight w:val="none"/>
              </w:rPr>
            </w:pPr>
          </w:p>
        </w:tc>
      </w:tr>
      <w:tr w14:paraId="51604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jc w:val="center"/>
        </w:trPr>
        <w:tc>
          <w:tcPr>
            <w:tcW w:w="2609" w:type="dxa"/>
            <w:vAlign w:val="center"/>
          </w:tcPr>
          <w:p w14:paraId="421FC6D8">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其他承诺</w:t>
            </w:r>
          </w:p>
        </w:tc>
        <w:tc>
          <w:tcPr>
            <w:tcW w:w="6461" w:type="dxa"/>
            <w:vAlign w:val="center"/>
          </w:tcPr>
          <w:p w14:paraId="3232F45F">
            <w:pPr>
              <w:spacing w:line="360" w:lineRule="auto"/>
              <w:jc w:val="left"/>
              <w:rPr>
                <w:rFonts w:hint="eastAsia" w:ascii="宋体" w:hAnsi="宋体" w:eastAsia="宋体" w:cs="宋体"/>
                <w:color w:val="auto"/>
                <w:sz w:val="24"/>
                <w:highlight w:val="none"/>
              </w:rPr>
            </w:pPr>
          </w:p>
        </w:tc>
      </w:tr>
    </w:tbl>
    <w:p w14:paraId="5392FEE3">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注：1.表中报价应与“投标函”中报价和“</w:t>
      </w:r>
      <w:r>
        <w:rPr>
          <w:rFonts w:hint="eastAsia" w:ascii="宋体" w:hAnsi="宋体" w:eastAsia="宋体" w:cs="宋体"/>
          <w:color w:val="auto"/>
          <w:sz w:val="24"/>
          <w:highlight w:val="none"/>
          <w:lang w:val="en-US" w:eastAsia="zh-CN"/>
        </w:rPr>
        <w:t>分项</w:t>
      </w:r>
      <w:r>
        <w:rPr>
          <w:rFonts w:hint="eastAsia" w:ascii="宋体" w:hAnsi="宋体" w:eastAsia="宋体" w:cs="宋体"/>
          <w:color w:val="auto"/>
          <w:sz w:val="24"/>
          <w:highlight w:val="none"/>
        </w:rPr>
        <w:t>报价表”中报价一致。</w:t>
      </w:r>
    </w:p>
    <w:p w14:paraId="3B9AE7A7">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2.此表应放于投标文件封面后第一页。</w:t>
      </w:r>
    </w:p>
    <w:p w14:paraId="6CAA996D">
      <w:pPr>
        <w:spacing w:line="360" w:lineRule="auto"/>
        <w:jc w:val="left"/>
        <w:rPr>
          <w:rFonts w:hint="eastAsia" w:ascii="宋体" w:hAnsi="宋体" w:eastAsia="宋体" w:cs="宋体"/>
          <w:color w:val="auto"/>
          <w:sz w:val="24"/>
          <w:highlight w:val="none"/>
        </w:rPr>
      </w:pPr>
    </w:p>
    <w:p w14:paraId="5E133E2F">
      <w:pPr>
        <w:spacing w:line="480" w:lineRule="auto"/>
        <w:jc w:val="left"/>
        <w:rPr>
          <w:rFonts w:hint="eastAsia" w:ascii="宋体" w:hAnsi="宋体" w:eastAsia="宋体" w:cs="宋体"/>
          <w:bCs/>
          <w:color w:val="auto"/>
          <w:sz w:val="24"/>
          <w:highlight w:val="none"/>
          <w:u w:val="single"/>
        </w:rPr>
      </w:pPr>
      <w:bookmarkStart w:id="251" w:name="_Toc373137828"/>
      <w:bookmarkStart w:id="252" w:name="_Toc30353"/>
      <w:bookmarkStart w:id="253" w:name="_Toc374876428"/>
      <w:r>
        <w:rPr>
          <w:rFonts w:hint="eastAsia" w:ascii="宋体" w:hAnsi="宋体" w:eastAsia="宋体" w:cs="宋体"/>
          <w:bCs/>
          <w:color w:val="auto"/>
          <w:sz w:val="24"/>
          <w:highlight w:val="none"/>
        </w:rPr>
        <w:t>投标人：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(电子签章) </w:t>
      </w:r>
    </w:p>
    <w:p w14:paraId="55FB1004">
      <w:pPr>
        <w:spacing w:line="48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法定代表人或其委托代理人：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(电子签章或签名) </w:t>
      </w:r>
    </w:p>
    <w:p w14:paraId="571A99F3">
      <w:pPr>
        <w:spacing w:line="48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日期：</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年</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月</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日</w:t>
      </w:r>
    </w:p>
    <w:p w14:paraId="47C13CFA">
      <w:pP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br w:type="page"/>
      </w:r>
    </w:p>
    <w:p w14:paraId="712036BE">
      <w:pPr>
        <w:pStyle w:val="4"/>
        <w:spacing w:before="0" w:line="240" w:lineRule="atLeast"/>
        <w:jc w:val="center"/>
        <w:rPr>
          <w:rFonts w:hint="eastAsia" w:ascii="宋体" w:hAnsi="宋体" w:eastAsia="宋体" w:cs="宋体"/>
          <w:color w:val="auto"/>
          <w:szCs w:val="28"/>
          <w:highlight w:val="none"/>
        </w:rPr>
      </w:pPr>
      <w:r>
        <w:rPr>
          <w:rFonts w:hint="eastAsia" w:ascii="宋体" w:hAnsi="宋体" w:eastAsia="宋体" w:cs="宋体"/>
          <w:color w:val="auto"/>
          <w:szCs w:val="28"/>
          <w:highlight w:val="none"/>
        </w:rPr>
        <w:t>附1：分项报价表</w:t>
      </w:r>
    </w:p>
    <w:p w14:paraId="48B04E3D">
      <w:pPr>
        <w:pStyle w:val="21"/>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项目名称：</w:t>
      </w:r>
      <w:r>
        <w:rPr>
          <w:rFonts w:hint="eastAsia" w:ascii="宋体" w:hAnsi="宋体" w:eastAsia="宋体" w:cs="宋体"/>
          <w:b/>
          <w:color w:val="auto"/>
          <w:sz w:val="24"/>
          <w:szCs w:val="24"/>
          <w:highlight w:val="none"/>
          <w:u w:val="single"/>
        </w:rPr>
        <w:t xml:space="preserve">                         </w:t>
      </w:r>
    </w:p>
    <w:p w14:paraId="3094BDB0">
      <w:pPr>
        <w:adjustRightInd w:val="0"/>
        <w:snapToGrid w:val="0"/>
        <w:spacing w:line="360" w:lineRule="auto"/>
        <w:rPr>
          <w:rFonts w:hint="eastAsia" w:ascii="宋体" w:hAnsi="宋体" w:eastAsia="宋体" w:cs="宋体"/>
          <w:bCs/>
          <w:color w:val="auto"/>
          <w:sz w:val="24"/>
          <w:highlight w:val="none"/>
          <w:u w:val="single"/>
        </w:rPr>
      </w:pPr>
      <w:r>
        <w:rPr>
          <w:rFonts w:hint="eastAsia" w:ascii="宋体" w:hAnsi="宋体" w:eastAsia="宋体" w:cs="宋体"/>
          <w:b/>
          <w:color w:val="auto"/>
          <w:sz w:val="24"/>
          <w:highlight w:val="none"/>
        </w:rPr>
        <w:t>项目编号：</w:t>
      </w:r>
      <w:r>
        <w:rPr>
          <w:rFonts w:hint="eastAsia" w:ascii="宋体" w:hAnsi="宋体" w:eastAsia="宋体" w:cs="宋体"/>
          <w:b/>
          <w:color w:val="auto"/>
          <w:sz w:val="24"/>
          <w:highlight w:val="none"/>
          <w:u w:val="single"/>
        </w:rPr>
        <w:t xml:space="preserve">                         </w:t>
      </w:r>
      <w:r>
        <w:rPr>
          <w:rFonts w:hint="eastAsia" w:ascii="宋体" w:hAnsi="宋体" w:eastAsia="宋体" w:cs="宋体"/>
          <w:b/>
          <w:color w:val="auto"/>
          <w:sz w:val="24"/>
          <w:highlight w:val="none"/>
        </w:rPr>
        <w:t xml:space="preserve">    </w:t>
      </w:r>
      <w:r>
        <w:rPr>
          <w:rFonts w:hint="eastAsia" w:ascii="宋体" w:hAnsi="宋体" w:eastAsia="宋体" w:cs="宋体"/>
          <w:b/>
          <w:color w:val="auto"/>
          <w:sz w:val="24"/>
          <w:highlight w:val="none"/>
          <w:lang w:val="en-US" w:eastAsia="zh-CN"/>
        </w:rPr>
        <w:t>标段号及名称</w:t>
      </w:r>
      <w:r>
        <w:rPr>
          <w:rFonts w:hint="eastAsia" w:ascii="宋体" w:hAnsi="宋体" w:eastAsia="宋体" w:cs="宋体"/>
          <w:b/>
          <w:color w:val="auto"/>
          <w:sz w:val="24"/>
          <w:highlight w:val="none"/>
        </w:rPr>
        <w:t>：</w:t>
      </w:r>
      <w:r>
        <w:rPr>
          <w:rFonts w:hint="eastAsia" w:ascii="宋体" w:hAnsi="宋体" w:eastAsia="宋体" w:cs="宋体"/>
          <w:b/>
          <w:color w:val="auto"/>
          <w:sz w:val="24"/>
          <w:highlight w:val="none"/>
          <w:u w:val="single"/>
        </w:rPr>
        <w:t xml:space="preserve">               </w:t>
      </w:r>
      <w:r>
        <w:rPr>
          <w:rFonts w:hint="eastAsia" w:ascii="宋体" w:hAnsi="宋体" w:eastAsia="宋体" w:cs="宋体"/>
          <w:bCs/>
          <w:color w:val="auto"/>
          <w:sz w:val="24"/>
          <w:highlight w:val="none"/>
          <w:u w:val="single"/>
        </w:rPr>
        <w:t xml:space="preserve">    </w:t>
      </w:r>
    </w:p>
    <w:tbl>
      <w:tblPr>
        <w:tblStyle w:val="43"/>
        <w:tblW w:w="9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7"/>
        <w:gridCol w:w="2430"/>
        <w:gridCol w:w="989"/>
        <w:gridCol w:w="1159"/>
        <w:gridCol w:w="1626"/>
        <w:gridCol w:w="1637"/>
        <w:gridCol w:w="1142"/>
      </w:tblGrid>
      <w:tr w14:paraId="6611A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767" w:type="dxa"/>
            <w:vAlign w:val="center"/>
          </w:tcPr>
          <w:p w14:paraId="29A2211A">
            <w:pPr>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sz w:val="24"/>
                <w:szCs w:val="24"/>
                <w:highlight w:val="none"/>
                <w:vertAlign w:val="baseline"/>
                <w:lang w:eastAsia="zh-CN"/>
              </w:rPr>
            </w:pPr>
            <w:r>
              <w:rPr>
                <w:rFonts w:hint="eastAsia" w:ascii="宋体" w:hAnsi="宋体" w:eastAsia="宋体" w:cs="宋体"/>
                <w:b/>
                <w:bCs/>
                <w:color w:val="auto"/>
                <w:sz w:val="24"/>
                <w:szCs w:val="24"/>
                <w:highlight w:val="none"/>
                <w:vertAlign w:val="baseline"/>
                <w:lang w:eastAsia="zh-CN"/>
              </w:rPr>
              <w:t>序号</w:t>
            </w:r>
          </w:p>
        </w:tc>
        <w:tc>
          <w:tcPr>
            <w:tcW w:w="2430" w:type="dxa"/>
            <w:vAlign w:val="center"/>
          </w:tcPr>
          <w:p w14:paraId="123ADD83">
            <w:pPr>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sz w:val="24"/>
                <w:szCs w:val="24"/>
                <w:highlight w:val="none"/>
                <w:vertAlign w:val="baseline"/>
                <w:lang w:eastAsia="zh-CN"/>
              </w:rPr>
            </w:pPr>
            <w:r>
              <w:rPr>
                <w:rFonts w:hint="eastAsia" w:ascii="宋体" w:hAnsi="宋体" w:eastAsia="宋体" w:cs="宋体"/>
                <w:b/>
                <w:bCs/>
                <w:color w:val="auto"/>
                <w:sz w:val="24"/>
                <w:szCs w:val="24"/>
                <w:highlight w:val="none"/>
                <w:vertAlign w:val="baseline"/>
                <w:lang w:val="en-US" w:eastAsia="zh-CN"/>
              </w:rPr>
              <w:t>项目</w:t>
            </w:r>
            <w:r>
              <w:rPr>
                <w:rFonts w:hint="eastAsia" w:ascii="宋体" w:hAnsi="宋体" w:eastAsia="宋体" w:cs="宋体"/>
                <w:b/>
                <w:bCs/>
                <w:color w:val="auto"/>
                <w:sz w:val="24"/>
                <w:szCs w:val="24"/>
                <w:highlight w:val="none"/>
                <w:vertAlign w:val="baseline"/>
                <w:lang w:eastAsia="zh-CN"/>
              </w:rPr>
              <w:t>名称</w:t>
            </w:r>
          </w:p>
        </w:tc>
        <w:tc>
          <w:tcPr>
            <w:tcW w:w="989" w:type="dxa"/>
            <w:vAlign w:val="center"/>
          </w:tcPr>
          <w:p w14:paraId="6BB64622">
            <w:pPr>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sz w:val="24"/>
                <w:szCs w:val="24"/>
                <w:highlight w:val="none"/>
                <w:vertAlign w:val="baseline"/>
                <w:lang w:eastAsia="zh-CN"/>
              </w:rPr>
            </w:pPr>
            <w:r>
              <w:rPr>
                <w:rFonts w:hint="eastAsia" w:ascii="宋体" w:hAnsi="宋体" w:eastAsia="宋体" w:cs="宋体"/>
                <w:b/>
                <w:bCs/>
                <w:color w:val="auto"/>
                <w:sz w:val="24"/>
                <w:szCs w:val="24"/>
                <w:highlight w:val="none"/>
                <w:vertAlign w:val="baseline"/>
                <w:lang w:eastAsia="zh-CN"/>
              </w:rPr>
              <w:t>单位</w:t>
            </w:r>
          </w:p>
        </w:tc>
        <w:tc>
          <w:tcPr>
            <w:tcW w:w="1159" w:type="dxa"/>
            <w:vAlign w:val="center"/>
          </w:tcPr>
          <w:p w14:paraId="6EACFA86">
            <w:pPr>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sz w:val="24"/>
                <w:szCs w:val="24"/>
                <w:highlight w:val="none"/>
                <w:vertAlign w:val="baseline"/>
                <w:lang w:eastAsia="zh-CN"/>
              </w:rPr>
            </w:pPr>
            <w:r>
              <w:rPr>
                <w:rFonts w:hint="eastAsia" w:ascii="宋体" w:hAnsi="宋体" w:eastAsia="宋体" w:cs="宋体"/>
                <w:b/>
                <w:bCs/>
                <w:color w:val="auto"/>
                <w:sz w:val="24"/>
                <w:szCs w:val="24"/>
                <w:highlight w:val="none"/>
                <w:vertAlign w:val="baseline"/>
                <w:lang w:eastAsia="zh-CN"/>
              </w:rPr>
              <w:t>数量</w:t>
            </w:r>
          </w:p>
        </w:tc>
        <w:tc>
          <w:tcPr>
            <w:tcW w:w="1626" w:type="dxa"/>
            <w:vAlign w:val="center"/>
          </w:tcPr>
          <w:p w14:paraId="7423EBD8">
            <w:pPr>
              <w:spacing w:line="240" w:lineRule="auto"/>
              <w:jc w:val="center"/>
              <w:rPr>
                <w:rFonts w:hint="eastAsia" w:ascii="宋体" w:hAnsi="宋体" w:eastAsia="宋体" w:cs="宋体"/>
                <w:b/>
                <w:bCs/>
                <w:color w:val="auto"/>
                <w:sz w:val="24"/>
                <w:szCs w:val="24"/>
                <w:highlight w:val="none"/>
                <w:vertAlign w:val="baseline"/>
                <w:lang w:val="en-US" w:eastAsia="zh-CN"/>
              </w:rPr>
            </w:pPr>
            <w:r>
              <w:rPr>
                <w:rFonts w:hint="eastAsia" w:ascii="宋体" w:hAnsi="宋体" w:eastAsia="宋体" w:cs="宋体"/>
                <w:b/>
                <w:bCs/>
                <w:color w:val="auto"/>
                <w:sz w:val="24"/>
                <w:szCs w:val="24"/>
                <w:highlight w:val="none"/>
                <w:vertAlign w:val="baseline"/>
                <w:lang w:val="en-US" w:eastAsia="zh-CN"/>
              </w:rPr>
              <w:t>投标单价（元）</w:t>
            </w:r>
          </w:p>
        </w:tc>
        <w:tc>
          <w:tcPr>
            <w:tcW w:w="1637" w:type="dxa"/>
            <w:vAlign w:val="center"/>
          </w:tcPr>
          <w:p w14:paraId="5C85CF77">
            <w:pPr>
              <w:spacing w:line="240" w:lineRule="auto"/>
              <w:jc w:val="center"/>
              <w:rPr>
                <w:rFonts w:hint="eastAsia" w:ascii="宋体" w:hAnsi="宋体" w:eastAsia="宋体" w:cs="宋体"/>
                <w:b/>
                <w:bCs/>
                <w:color w:val="auto"/>
                <w:sz w:val="24"/>
                <w:szCs w:val="24"/>
                <w:highlight w:val="none"/>
                <w:vertAlign w:val="baseline"/>
                <w:lang w:val="en-US" w:eastAsia="zh-CN"/>
              </w:rPr>
            </w:pPr>
            <w:r>
              <w:rPr>
                <w:rFonts w:hint="eastAsia" w:ascii="宋体" w:hAnsi="宋体" w:eastAsia="宋体" w:cs="宋体"/>
                <w:b/>
                <w:bCs/>
                <w:color w:val="auto"/>
                <w:sz w:val="24"/>
                <w:szCs w:val="24"/>
                <w:highlight w:val="none"/>
                <w:vertAlign w:val="baseline"/>
                <w:lang w:val="en-US" w:eastAsia="zh-CN"/>
              </w:rPr>
              <w:t>投标总价（元）</w:t>
            </w:r>
          </w:p>
        </w:tc>
        <w:tc>
          <w:tcPr>
            <w:tcW w:w="1142" w:type="dxa"/>
            <w:vAlign w:val="center"/>
          </w:tcPr>
          <w:p w14:paraId="5D7C424F">
            <w:pPr>
              <w:spacing w:line="240" w:lineRule="auto"/>
              <w:jc w:val="center"/>
              <w:rPr>
                <w:rFonts w:hint="eastAsia" w:ascii="宋体" w:hAnsi="宋体" w:eastAsia="宋体" w:cs="宋体"/>
                <w:b/>
                <w:bCs/>
                <w:color w:val="auto"/>
                <w:sz w:val="24"/>
                <w:szCs w:val="24"/>
                <w:highlight w:val="none"/>
                <w:vertAlign w:val="baseline"/>
                <w:lang w:eastAsia="zh-CN"/>
              </w:rPr>
            </w:pPr>
            <w:r>
              <w:rPr>
                <w:rFonts w:hint="eastAsia" w:ascii="宋体" w:hAnsi="宋体" w:eastAsia="宋体" w:cs="宋体"/>
                <w:b/>
                <w:bCs/>
                <w:color w:val="auto"/>
                <w:sz w:val="24"/>
                <w:szCs w:val="24"/>
                <w:highlight w:val="none"/>
                <w:vertAlign w:val="baseline"/>
                <w:lang w:val="en-US" w:eastAsia="zh-CN"/>
              </w:rPr>
              <w:t>备注</w:t>
            </w:r>
          </w:p>
        </w:tc>
      </w:tr>
      <w:tr w14:paraId="4371E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jc w:val="center"/>
        </w:trPr>
        <w:tc>
          <w:tcPr>
            <w:tcW w:w="767" w:type="dxa"/>
            <w:shd w:val="clear" w:color="auto" w:fill="auto"/>
            <w:vAlign w:val="center"/>
          </w:tcPr>
          <w:p w14:paraId="2DAF1E4E">
            <w:pPr>
              <w:autoSpaceDE w:val="0"/>
              <w:adjustRightInd w:val="0"/>
              <w:snapToGrid w:val="0"/>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bidi="ar"/>
              </w:rPr>
              <w:t>1</w:t>
            </w:r>
          </w:p>
        </w:tc>
        <w:tc>
          <w:tcPr>
            <w:tcW w:w="2430" w:type="dxa"/>
            <w:shd w:val="clear" w:color="auto" w:fill="auto"/>
            <w:vAlign w:val="center"/>
          </w:tcPr>
          <w:p w14:paraId="568D7CDF">
            <w:pPr>
              <w:widowControl/>
              <w:jc w:val="center"/>
              <w:rPr>
                <w:rFonts w:hint="eastAsia" w:ascii="宋体" w:hAnsi="宋体" w:eastAsia="宋体" w:cs="宋体"/>
                <w:snapToGrid/>
                <w:color w:val="auto"/>
                <w:kern w:val="0"/>
                <w:sz w:val="24"/>
                <w:szCs w:val="24"/>
                <w:highlight w:val="none"/>
                <w:lang w:val="en-US" w:eastAsia="zh-CN" w:bidi="ar-SA"/>
              </w:rPr>
            </w:pPr>
            <w:r>
              <w:rPr>
                <w:rFonts w:hint="eastAsia" w:ascii="宋体" w:hAnsi="宋体" w:eastAsia="宋体" w:cs="宋体"/>
                <w:snapToGrid/>
                <w:color w:val="auto"/>
                <w:kern w:val="0"/>
                <w:sz w:val="24"/>
                <w:szCs w:val="24"/>
                <w:highlight w:val="none"/>
              </w:rPr>
              <w:t>AR教学平台</w:t>
            </w:r>
          </w:p>
        </w:tc>
        <w:tc>
          <w:tcPr>
            <w:tcW w:w="989" w:type="dxa"/>
            <w:shd w:val="clear" w:color="auto" w:fill="auto"/>
            <w:vAlign w:val="center"/>
          </w:tcPr>
          <w:p w14:paraId="3DF1BD75">
            <w:pPr>
              <w:widowControl/>
              <w:jc w:val="center"/>
              <w:rPr>
                <w:rFonts w:hint="eastAsia" w:ascii="宋体" w:hAnsi="宋体" w:eastAsia="宋体" w:cs="宋体"/>
                <w:snapToGrid/>
                <w:color w:val="auto"/>
                <w:kern w:val="0"/>
                <w:sz w:val="24"/>
                <w:szCs w:val="24"/>
                <w:highlight w:val="none"/>
                <w:lang w:val="en-US" w:eastAsia="zh-CN" w:bidi="ar-SA"/>
              </w:rPr>
            </w:pPr>
            <w:r>
              <w:rPr>
                <w:rFonts w:hint="eastAsia" w:ascii="宋体" w:hAnsi="宋体" w:eastAsia="宋体" w:cs="宋体"/>
                <w:snapToGrid/>
                <w:color w:val="auto"/>
                <w:kern w:val="0"/>
                <w:sz w:val="24"/>
                <w:szCs w:val="24"/>
                <w:highlight w:val="none"/>
              </w:rPr>
              <w:t>套</w:t>
            </w:r>
          </w:p>
        </w:tc>
        <w:tc>
          <w:tcPr>
            <w:tcW w:w="1159" w:type="dxa"/>
            <w:shd w:val="clear" w:color="auto" w:fill="auto"/>
            <w:vAlign w:val="center"/>
          </w:tcPr>
          <w:p w14:paraId="6ECD67F0">
            <w:pPr>
              <w:widowControl/>
              <w:jc w:val="center"/>
              <w:rPr>
                <w:rFonts w:hint="eastAsia" w:ascii="宋体" w:hAnsi="宋体" w:eastAsia="宋体" w:cs="宋体"/>
                <w:snapToGrid/>
                <w:color w:val="auto"/>
                <w:kern w:val="0"/>
                <w:sz w:val="24"/>
                <w:szCs w:val="24"/>
                <w:highlight w:val="none"/>
                <w:lang w:val="en-US" w:eastAsia="zh-CN" w:bidi="ar-SA"/>
              </w:rPr>
            </w:pPr>
            <w:r>
              <w:rPr>
                <w:rFonts w:hint="eastAsia" w:ascii="宋体" w:hAnsi="宋体" w:eastAsia="宋体" w:cs="宋体"/>
                <w:snapToGrid/>
                <w:color w:val="auto"/>
                <w:kern w:val="0"/>
                <w:sz w:val="24"/>
                <w:szCs w:val="24"/>
                <w:highlight w:val="none"/>
              </w:rPr>
              <w:t>1</w:t>
            </w:r>
          </w:p>
        </w:tc>
        <w:tc>
          <w:tcPr>
            <w:tcW w:w="1626" w:type="dxa"/>
            <w:vAlign w:val="center"/>
          </w:tcPr>
          <w:p w14:paraId="15FC655B">
            <w:pPr>
              <w:keepNext w:val="0"/>
              <w:keepLines w:val="0"/>
              <w:widowControl/>
              <w:suppressLineNumbers w:val="0"/>
              <w:spacing w:line="360" w:lineRule="auto"/>
              <w:jc w:val="center"/>
              <w:textAlignment w:val="center"/>
              <w:rPr>
                <w:rFonts w:hint="eastAsia" w:ascii="宋体" w:hAnsi="宋体" w:eastAsia="宋体" w:cs="宋体"/>
                <w:b w:val="0"/>
                <w:bCs w:val="0"/>
                <w:color w:val="auto"/>
                <w:sz w:val="24"/>
                <w:szCs w:val="24"/>
                <w:highlight w:val="none"/>
                <w:vertAlign w:val="baseline"/>
                <w:lang w:val="en-US" w:eastAsia="zh-CN"/>
              </w:rPr>
            </w:pPr>
          </w:p>
        </w:tc>
        <w:tc>
          <w:tcPr>
            <w:tcW w:w="1637" w:type="dxa"/>
            <w:vAlign w:val="center"/>
          </w:tcPr>
          <w:p w14:paraId="797BE883">
            <w:pPr>
              <w:keepNext w:val="0"/>
              <w:keepLines w:val="0"/>
              <w:widowControl/>
              <w:suppressLineNumbers w:val="0"/>
              <w:spacing w:line="360" w:lineRule="auto"/>
              <w:jc w:val="center"/>
              <w:textAlignment w:val="center"/>
              <w:rPr>
                <w:rFonts w:hint="eastAsia" w:ascii="宋体" w:hAnsi="宋体" w:eastAsia="宋体" w:cs="宋体"/>
                <w:b w:val="0"/>
                <w:bCs w:val="0"/>
                <w:color w:val="auto"/>
                <w:sz w:val="24"/>
                <w:szCs w:val="24"/>
                <w:highlight w:val="none"/>
                <w:vertAlign w:val="baseline"/>
                <w:lang w:val="en-US" w:eastAsia="zh-CN"/>
              </w:rPr>
            </w:pPr>
          </w:p>
        </w:tc>
        <w:tc>
          <w:tcPr>
            <w:tcW w:w="1142" w:type="dxa"/>
            <w:vAlign w:val="center"/>
          </w:tcPr>
          <w:p w14:paraId="7A865734">
            <w:pPr>
              <w:keepNext w:val="0"/>
              <w:keepLines w:val="0"/>
              <w:widowControl/>
              <w:suppressLineNumbers w:val="0"/>
              <w:spacing w:line="360" w:lineRule="auto"/>
              <w:jc w:val="center"/>
              <w:textAlignment w:val="center"/>
              <w:rPr>
                <w:rFonts w:hint="eastAsia" w:ascii="宋体" w:hAnsi="宋体" w:eastAsia="宋体" w:cs="宋体"/>
                <w:b w:val="0"/>
                <w:bCs w:val="0"/>
                <w:color w:val="auto"/>
                <w:sz w:val="24"/>
                <w:szCs w:val="24"/>
                <w:highlight w:val="none"/>
                <w:vertAlign w:val="baseline"/>
                <w:lang w:val="en-US" w:eastAsia="zh-CN"/>
              </w:rPr>
            </w:pPr>
          </w:p>
        </w:tc>
      </w:tr>
      <w:tr w14:paraId="4A70C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jc w:val="center"/>
        </w:trPr>
        <w:tc>
          <w:tcPr>
            <w:tcW w:w="767" w:type="dxa"/>
            <w:shd w:val="clear" w:color="auto" w:fill="auto"/>
            <w:vAlign w:val="center"/>
          </w:tcPr>
          <w:p w14:paraId="0EBFC20D">
            <w:pPr>
              <w:autoSpaceDE w:val="0"/>
              <w:adjustRightInd w:val="0"/>
              <w:snapToGrid w:val="0"/>
              <w:spacing w:line="360" w:lineRule="auto"/>
              <w:jc w:val="center"/>
              <w:rPr>
                <w:rFonts w:hint="eastAsia" w:ascii="宋体" w:hAnsi="宋体" w:eastAsia="宋体" w:cs="宋体"/>
                <w:color w:val="auto"/>
                <w:kern w:val="2"/>
                <w:sz w:val="24"/>
                <w:szCs w:val="24"/>
                <w:highlight w:val="none"/>
                <w:lang w:val="en-US" w:eastAsia="zh-CN" w:bidi="ar"/>
              </w:rPr>
            </w:pPr>
            <w:r>
              <w:rPr>
                <w:rFonts w:hint="eastAsia" w:ascii="宋体" w:hAnsi="宋体" w:eastAsia="宋体" w:cs="宋体"/>
                <w:color w:val="auto"/>
                <w:sz w:val="24"/>
                <w:szCs w:val="24"/>
                <w:highlight w:val="none"/>
                <w:lang w:bidi="ar"/>
              </w:rPr>
              <w:t>2</w:t>
            </w:r>
          </w:p>
        </w:tc>
        <w:tc>
          <w:tcPr>
            <w:tcW w:w="2430" w:type="dxa"/>
            <w:shd w:val="clear" w:color="auto" w:fill="auto"/>
            <w:vAlign w:val="center"/>
          </w:tcPr>
          <w:p w14:paraId="61EA8DC8">
            <w:pPr>
              <w:widowControl/>
              <w:jc w:val="center"/>
              <w:rPr>
                <w:rFonts w:hint="eastAsia" w:ascii="宋体" w:hAnsi="宋体" w:eastAsia="宋体" w:cs="宋体"/>
                <w:snapToGrid/>
                <w:color w:val="auto"/>
                <w:kern w:val="0"/>
                <w:sz w:val="24"/>
                <w:szCs w:val="24"/>
                <w:highlight w:val="none"/>
                <w:lang w:val="en-US" w:eastAsia="zh-CN" w:bidi="ar-SA"/>
              </w:rPr>
            </w:pPr>
            <w:r>
              <w:rPr>
                <w:rFonts w:hint="eastAsia" w:ascii="宋体" w:hAnsi="宋体" w:eastAsia="宋体" w:cs="宋体"/>
                <w:snapToGrid/>
                <w:color w:val="auto"/>
                <w:kern w:val="0"/>
                <w:sz w:val="24"/>
                <w:szCs w:val="24"/>
                <w:highlight w:val="none"/>
              </w:rPr>
              <w:t>AR教学软件</w:t>
            </w:r>
          </w:p>
        </w:tc>
        <w:tc>
          <w:tcPr>
            <w:tcW w:w="989" w:type="dxa"/>
            <w:shd w:val="clear" w:color="auto" w:fill="auto"/>
            <w:vAlign w:val="center"/>
          </w:tcPr>
          <w:p w14:paraId="6DA0F92A">
            <w:pPr>
              <w:widowControl/>
              <w:jc w:val="center"/>
              <w:rPr>
                <w:rFonts w:hint="eastAsia" w:ascii="宋体" w:hAnsi="宋体" w:eastAsia="宋体" w:cs="宋体"/>
                <w:snapToGrid/>
                <w:color w:val="auto"/>
                <w:kern w:val="0"/>
                <w:sz w:val="24"/>
                <w:szCs w:val="24"/>
                <w:highlight w:val="none"/>
                <w:lang w:val="en-US" w:eastAsia="zh-CN" w:bidi="ar-SA"/>
              </w:rPr>
            </w:pPr>
            <w:r>
              <w:rPr>
                <w:rFonts w:hint="eastAsia" w:ascii="宋体" w:hAnsi="宋体" w:eastAsia="宋体" w:cs="宋体"/>
                <w:snapToGrid/>
                <w:color w:val="auto"/>
                <w:kern w:val="0"/>
                <w:sz w:val="24"/>
                <w:szCs w:val="24"/>
                <w:highlight w:val="none"/>
              </w:rPr>
              <w:t>套</w:t>
            </w:r>
          </w:p>
        </w:tc>
        <w:tc>
          <w:tcPr>
            <w:tcW w:w="1159" w:type="dxa"/>
            <w:shd w:val="clear" w:color="auto" w:fill="auto"/>
            <w:vAlign w:val="center"/>
          </w:tcPr>
          <w:p w14:paraId="26C1F1C2">
            <w:pPr>
              <w:widowControl/>
              <w:jc w:val="center"/>
              <w:rPr>
                <w:rFonts w:hint="eastAsia" w:ascii="宋体" w:hAnsi="宋体" w:eastAsia="宋体" w:cs="宋体"/>
                <w:snapToGrid/>
                <w:color w:val="auto"/>
                <w:kern w:val="0"/>
                <w:sz w:val="24"/>
                <w:szCs w:val="24"/>
                <w:highlight w:val="none"/>
                <w:lang w:val="en-US" w:eastAsia="zh-CN" w:bidi="ar-SA"/>
              </w:rPr>
            </w:pPr>
            <w:r>
              <w:rPr>
                <w:rFonts w:hint="eastAsia" w:ascii="宋体" w:hAnsi="宋体" w:eastAsia="宋体" w:cs="宋体"/>
                <w:snapToGrid/>
                <w:color w:val="auto"/>
                <w:kern w:val="0"/>
                <w:sz w:val="24"/>
                <w:szCs w:val="24"/>
                <w:highlight w:val="none"/>
              </w:rPr>
              <w:t>1</w:t>
            </w:r>
          </w:p>
        </w:tc>
        <w:tc>
          <w:tcPr>
            <w:tcW w:w="1626" w:type="dxa"/>
            <w:vAlign w:val="center"/>
          </w:tcPr>
          <w:p w14:paraId="58CF811B">
            <w:pPr>
              <w:keepNext w:val="0"/>
              <w:keepLines w:val="0"/>
              <w:widowControl/>
              <w:suppressLineNumbers w:val="0"/>
              <w:spacing w:line="360" w:lineRule="auto"/>
              <w:jc w:val="center"/>
              <w:textAlignment w:val="center"/>
              <w:rPr>
                <w:rFonts w:hint="eastAsia" w:ascii="宋体" w:hAnsi="宋体" w:eastAsia="宋体" w:cs="宋体"/>
                <w:b w:val="0"/>
                <w:bCs w:val="0"/>
                <w:color w:val="auto"/>
                <w:sz w:val="24"/>
                <w:szCs w:val="24"/>
                <w:highlight w:val="none"/>
                <w:vertAlign w:val="baseline"/>
                <w:lang w:val="en-US" w:eastAsia="zh-CN"/>
              </w:rPr>
            </w:pPr>
          </w:p>
        </w:tc>
        <w:tc>
          <w:tcPr>
            <w:tcW w:w="1637" w:type="dxa"/>
            <w:vAlign w:val="center"/>
          </w:tcPr>
          <w:p w14:paraId="157801FA">
            <w:pPr>
              <w:keepNext w:val="0"/>
              <w:keepLines w:val="0"/>
              <w:widowControl/>
              <w:suppressLineNumbers w:val="0"/>
              <w:spacing w:line="360" w:lineRule="auto"/>
              <w:jc w:val="center"/>
              <w:textAlignment w:val="center"/>
              <w:rPr>
                <w:rFonts w:hint="eastAsia" w:ascii="宋体" w:hAnsi="宋体" w:eastAsia="宋体" w:cs="宋体"/>
                <w:b w:val="0"/>
                <w:bCs w:val="0"/>
                <w:color w:val="auto"/>
                <w:sz w:val="24"/>
                <w:szCs w:val="24"/>
                <w:highlight w:val="none"/>
                <w:vertAlign w:val="baseline"/>
                <w:lang w:val="en-US" w:eastAsia="zh-CN"/>
              </w:rPr>
            </w:pPr>
          </w:p>
        </w:tc>
        <w:tc>
          <w:tcPr>
            <w:tcW w:w="1142" w:type="dxa"/>
            <w:vAlign w:val="center"/>
          </w:tcPr>
          <w:p w14:paraId="4A1A4166">
            <w:pPr>
              <w:keepNext w:val="0"/>
              <w:keepLines w:val="0"/>
              <w:widowControl/>
              <w:suppressLineNumbers w:val="0"/>
              <w:spacing w:line="360" w:lineRule="auto"/>
              <w:jc w:val="center"/>
              <w:textAlignment w:val="center"/>
              <w:rPr>
                <w:rFonts w:hint="eastAsia" w:ascii="宋体" w:hAnsi="宋体" w:eastAsia="宋体" w:cs="宋体"/>
                <w:b w:val="0"/>
                <w:bCs w:val="0"/>
                <w:color w:val="auto"/>
                <w:sz w:val="24"/>
                <w:szCs w:val="24"/>
                <w:highlight w:val="none"/>
                <w:vertAlign w:val="baseline"/>
                <w:lang w:val="en-US" w:eastAsia="zh-CN"/>
              </w:rPr>
            </w:pPr>
          </w:p>
        </w:tc>
      </w:tr>
      <w:tr w14:paraId="14998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jc w:val="center"/>
        </w:trPr>
        <w:tc>
          <w:tcPr>
            <w:tcW w:w="767" w:type="dxa"/>
            <w:shd w:val="clear" w:color="auto" w:fill="auto"/>
            <w:vAlign w:val="center"/>
          </w:tcPr>
          <w:p w14:paraId="68C9ABBB">
            <w:pPr>
              <w:autoSpaceDE w:val="0"/>
              <w:adjustRightInd w:val="0"/>
              <w:snapToGrid w:val="0"/>
              <w:spacing w:line="360" w:lineRule="auto"/>
              <w:jc w:val="center"/>
              <w:rPr>
                <w:rFonts w:hint="eastAsia" w:ascii="宋体" w:hAnsi="宋体" w:eastAsia="宋体" w:cs="宋体"/>
                <w:color w:val="auto"/>
                <w:kern w:val="2"/>
                <w:sz w:val="24"/>
                <w:szCs w:val="24"/>
                <w:highlight w:val="none"/>
                <w:lang w:val="en-US" w:eastAsia="zh-CN" w:bidi="ar"/>
              </w:rPr>
            </w:pPr>
            <w:r>
              <w:rPr>
                <w:rFonts w:hint="eastAsia" w:ascii="宋体" w:hAnsi="宋体" w:eastAsia="宋体" w:cs="宋体"/>
                <w:color w:val="auto"/>
                <w:sz w:val="24"/>
                <w:szCs w:val="24"/>
                <w:highlight w:val="none"/>
                <w:lang w:val="en-US" w:eastAsia="zh-CN" w:bidi="ar"/>
              </w:rPr>
              <w:t>3</w:t>
            </w:r>
          </w:p>
        </w:tc>
        <w:tc>
          <w:tcPr>
            <w:tcW w:w="2430" w:type="dxa"/>
            <w:shd w:val="clear" w:color="auto" w:fill="auto"/>
            <w:vAlign w:val="center"/>
          </w:tcPr>
          <w:p w14:paraId="34938CAB">
            <w:pPr>
              <w:widowControl/>
              <w:jc w:val="center"/>
              <w:rPr>
                <w:rFonts w:hint="eastAsia" w:ascii="宋体" w:hAnsi="宋体" w:eastAsia="宋体" w:cs="宋体"/>
                <w:snapToGrid/>
                <w:color w:val="auto"/>
                <w:kern w:val="0"/>
                <w:sz w:val="24"/>
                <w:szCs w:val="24"/>
                <w:highlight w:val="none"/>
                <w:lang w:val="en-US" w:eastAsia="zh-CN" w:bidi="ar-SA"/>
              </w:rPr>
            </w:pPr>
            <w:r>
              <w:rPr>
                <w:rFonts w:hint="eastAsia" w:ascii="宋体" w:hAnsi="宋体" w:eastAsia="宋体" w:cs="宋体"/>
                <w:snapToGrid/>
                <w:color w:val="auto"/>
                <w:kern w:val="0"/>
                <w:sz w:val="24"/>
                <w:szCs w:val="24"/>
                <w:highlight w:val="none"/>
              </w:rPr>
              <w:t>AR教学授课设备</w:t>
            </w:r>
          </w:p>
        </w:tc>
        <w:tc>
          <w:tcPr>
            <w:tcW w:w="989" w:type="dxa"/>
            <w:shd w:val="clear" w:color="auto" w:fill="auto"/>
            <w:vAlign w:val="center"/>
          </w:tcPr>
          <w:p w14:paraId="6F5A5D7E">
            <w:pPr>
              <w:widowControl/>
              <w:jc w:val="center"/>
              <w:rPr>
                <w:rFonts w:hint="eastAsia" w:ascii="宋体" w:hAnsi="宋体" w:eastAsia="宋体" w:cs="宋体"/>
                <w:snapToGrid/>
                <w:color w:val="auto"/>
                <w:kern w:val="0"/>
                <w:sz w:val="24"/>
                <w:szCs w:val="24"/>
                <w:highlight w:val="none"/>
                <w:lang w:val="en-US" w:eastAsia="zh-CN" w:bidi="ar-SA"/>
              </w:rPr>
            </w:pPr>
            <w:r>
              <w:rPr>
                <w:rFonts w:hint="eastAsia" w:ascii="宋体" w:hAnsi="宋体" w:eastAsia="宋体" w:cs="宋体"/>
                <w:snapToGrid/>
                <w:color w:val="auto"/>
                <w:kern w:val="0"/>
                <w:sz w:val="24"/>
                <w:szCs w:val="24"/>
                <w:highlight w:val="none"/>
              </w:rPr>
              <w:t>套</w:t>
            </w:r>
          </w:p>
        </w:tc>
        <w:tc>
          <w:tcPr>
            <w:tcW w:w="1159" w:type="dxa"/>
            <w:shd w:val="clear" w:color="auto" w:fill="auto"/>
            <w:vAlign w:val="center"/>
          </w:tcPr>
          <w:p w14:paraId="7F0F899F">
            <w:pPr>
              <w:widowControl/>
              <w:jc w:val="center"/>
              <w:rPr>
                <w:rFonts w:hint="eastAsia" w:ascii="宋体" w:hAnsi="宋体" w:eastAsia="宋体" w:cs="宋体"/>
                <w:snapToGrid/>
                <w:color w:val="auto"/>
                <w:kern w:val="0"/>
                <w:sz w:val="24"/>
                <w:szCs w:val="24"/>
                <w:highlight w:val="none"/>
                <w:lang w:val="en-US" w:eastAsia="zh-CN" w:bidi="ar-SA"/>
              </w:rPr>
            </w:pPr>
            <w:r>
              <w:rPr>
                <w:rFonts w:hint="eastAsia" w:ascii="宋体" w:hAnsi="宋体" w:eastAsia="宋体" w:cs="宋体"/>
                <w:snapToGrid/>
                <w:color w:val="auto"/>
                <w:kern w:val="0"/>
                <w:sz w:val="24"/>
                <w:szCs w:val="24"/>
                <w:highlight w:val="none"/>
              </w:rPr>
              <w:t>1</w:t>
            </w:r>
          </w:p>
        </w:tc>
        <w:tc>
          <w:tcPr>
            <w:tcW w:w="1626" w:type="dxa"/>
            <w:vAlign w:val="center"/>
          </w:tcPr>
          <w:p w14:paraId="6C51D86E">
            <w:pPr>
              <w:keepNext w:val="0"/>
              <w:keepLines w:val="0"/>
              <w:widowControl/>
              <w:suppressLineNumbers w:val="0"/>
              <w:spacing w:line="360" w:lineRule="auto"/>
              <w:jc w:val="center"/>
              <w:textAlignment w:val="center"/>
              <w:rPr>
                <w:rFonts w:hint="eastAsia" w:ascii="宋体" w:hAnsi="宋体" w:eastAsia="宋体" w:cs="宋体"/>
                <w:b w:val="0"/>
                <w:bCs w:val="0"/>
                <w:color w:val="auto"/>
                <w:sz w:val="24"/>
                <w:szCs w:val="24"/>
                <w:highlight w:val="none"/>
                <w:vertAlign w:val="baseline"/>
                <w:lang w:val="en-US" w:eastAsia="zh-CN"/>
              </w:rPr>
            </w:pPr>
          </w:p>
        </w:tc>
        <w:tc>
          <w:tcPr>
            <w:tcW w:w="1637" w:type="dxa"/>
            <w:vAlign w:val="center"/>
          </w:tcPr>
          <w:p w14:paraId="3642B39B">
            <w:pPr>
              <w:keepNext w:val="0"/>
              <w:keepLines w:val="0"/>
              <w:widowControl/>
              <w:suppressLineNumbers w:val="0"/>
              <w:spacing w:line="360" w:lineRule="auto"/>
              <w:jc w:val="center"/>
              <w:textAlignment w:val="center"/>
              <w:rPr>
                <w:rFonts w:hint="eastAsia" w:ascii="宋体" w:hAnsi="宋体" w:eastAsia="宋体" w:cs="宋体"/>
                <w:b w:val="0"/>
                <w:bCs w:val="0"/>
                <w:color w:val="auto"/>
                <w:sz w:val="24"/>
                <w:szCs w:val="24"/>
                <w:highlight w:val="none"/>
                <w:vertAlign w:val="baseline"/>
                <w:lang w:val="en-US" w:eastAsia="zh-CN"/>
              </w:rPr>
            </w:pPr>
          </w:p>
        </w:tc>
        <w:tc>
          <w:tcPr>
            <w:tcW w:w="1142" w:type="dxa"/>
            <w:vAlign w:val="center"/>
          </w:tcPr>
          <w:p w14:paraId="217BB66A">
            <w:pPr>
              <w:keepNext w:val="0"/>
              <w:keepLines w:val="0"/>
              <w:widowControl/>
              <w:suppressLineNumbers w:val="0"/>
              <w:spacing w:line="360" w:lineRule="auto"/>
              <w:jc w:val="center"/>
              <w:textAlignment w:val="center"/>
              <w:rPr>
                <w:rFonts w:hint="eastAsia" w:ascii="宋体" w:hAnsi="宋体" w:eastAsia="宋体" w:cs="宋体"/>
                <w:b w:val="0"/>
                <w:bCs w:val="0"/>
                <w:color w:val="auto"/>
                <w:sz w:val="24"/>
                <w:szCs w:val="24"/>
                <w:highlight w:val="none"/>
                <w:vertAlign w:val="baseline"/>
                <w:lang w:val="en-US" w:eastAsia="zh-CN"/>
              </w:rPr>
            </w:pPr>
          </w:p>
        </w:tc>
      </w:tr>
      <w:tr w14:paraId="4CF47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jc w:val="center"/>
        </w:trPr>
        <w:tc>
          <w:tcPr>
            <w:tcW w:w="767" w:type="dxa"/>
            <w:shd w:val="clear" w:color="auto" w:fill="auto"/>
            <w:vAlign w:val="center"/>
          </w:tcPr>
          <w:p w14:paraId="53DA4E52">
            <w:pPr>
              <w:autoSpaceDE w:val="0"/>
              <w:adjustRightInd w:val="0"/>
              <w:snapToGrid w:val="0"/>
              <w:spacing w:line="360" w:lineRule="auto"/>
              <w:jc w:val="center"/>
              <w:rPr>
                <w:rFonts w:hint="eastAsia" w:ascii="宋体" w:hAnsi="宋体" w:eastAsia="宋体" w:cs="宋体"/>
                <w:color w:val="auto"/>
                <w:kern w:val="2"/>
                <w:sz w:val="24"/>
                <w:szCs w:val="24"/>
                <w:highlight w:val="none"/>
                <w:lang w:val="en-US" w:eastAsia="zh-CN" w:bidi="ar"/>
              </w:rPr>
            </w:pPr>
            <w:r>
              <w:rPr>
                <w:rFonts w:hint="eastAsia" w:ascii="宋体" w:hAnsi="宋体" w:eastAsia="宋体" w:cs="宋体"/>
                <w:color w:val="auto"/>
                <w:sz w:val="24"/>
                <w:szCs w:val="24"/>
                <w:highlight w:val="none"/>
                <w:lang w:val="en-US" w:eastAsia="zh-CN" w:bidi="ar"/>
              </w:rPr>
              <w:t>4</w:t>
            </w:r>
          </w:p>
        </w:tc>
        <w:tc>
          <w:tcPr>
            <w:tcW w:w="2430" w:type="dxa"/>
            <w:shd w:val="clear" w:color="auto" w:fill="auto"/>
            <w:vAlign w:val="center"/>
          </w:tcPr>
          <w:p w14:paraId="386696F1">
            <w:pPr>
              <w:widowControl/>
              <w:jc w:val="center"/>
              <w:rPr>
                <w:rFonts w:hint="eastAsia" w:ascii="宋体" w:hAnsi="宋体" w:eastAsia="宋体" w:cs="宋体"/>
                <w:snapToGrid/>
                <w:color w:val="auto"/>
                <w:kern w:val="0"/>
                <w:sz w:val="24"/>
                <w:szCs w:val="24"/>
                <w:highlight w:val="none"/>
                <w:lang w:val="en-US" w:eastAsia="zh-CN" w:bidi="ar-SA"/>
              </w:rPr>
            </w:pPr>
            <w:r>
              <w:rPr>
                <w:rFonts w:hint="eastAsia" w:ascii="宋体" w:hAnsi="宋体" w:eastAsia="宋体" w:cs="宋体"/>
                <w:snapToGrid/>
                <w:color w:val="auto"/>
                <w:kern w:val="0"/>
                <w:sz w:val="24"/>
                <w:szCs w:val="24"/>
                <w:highlight w:val="none"/>
              </w:rPr>
              <w:t>交互体验设备</w:t>
            </w:r>
          </w:p>
        </w:tc>
        <w:tc>
          <w:tcPr>
            <w:tcW w:w="989" w:type="dxa"/>
            <w:shd w:val="clear" w:color="auto" w:fill="auto"/>
            <w:vAlign w:val="center"/>
          </w:tcPr>
          <w:p w14:paraId="4A8017D0">
            <w:pPr>
              <w:widowControl/>
              <w:jc w:val="center"/>
              <w:rPr>
                <w:rFonts w:hint="eastAsia" w:ascii="宋体" w:hAnsi="宋体" w:eastAsia="宋体" w:cs="宋体"/>
                <w:snapToGrid/>
                <w:color w:val="auto"/>
                <w:kern w:val="0"/>
                <w:sz w:val="24"/>
                <w:szCs w:val="24"/>
                <w:highlight w:val="none"/>
                <w:lang w:val="en-US" w:eastAsia="zh-CN" w:bidi="ar-SA"/>
              </w:rPr>
            </w:pPr>
            <w:r>
              <w:rPr>
                <w:rFonts w:hint="eastAsia" w:ascii="宋体" w:hAnsi="宋体" w:eastAsia="宋体" w:cs="宋体"/>
                <w:snapToGrid/>
                <w:color w:val="auto"/>
                <w:kern w:val="0"/>
                <w:sz w:val="24"/>
                <w:szCs w:val="24"/>
                <w:highlight w:val="none"/>
              </w:rPr>
              <w:t>套</w:t>
            </w:r>
          </w:p>
        </w:tc>
        <w:tc>
          <w:tcPr>
            <w:tcW w:w="1159" w:type="dxa"/>
            <w:shd w:val="clear" w:color="auto" w:fill="auto"/>
            <w:vAlign w:val="center"/>
          </w:tcPr>
          <w:p w14:paraId="58E73928">
            <w:pPr>
              <w:widowControl/>
              <w:jc w:val="center"/>
              <w:rPr>
                <w:rFonts w:hint="eastAsia" w:ascii="宋体" w:hAnsi="宋体" w:eastAsia="宋体" w:cs="宋体"/>
                <w:snapToGrid/>
                <w:color w:val="auto"/>
                <w:kern w:val="0"/>
                <w:sz w:val="24"/>
                <w:szCs w:val="24"/>
                <w:highlight w:val="none"/>
                <w:lang w:val="en-US" w:eastAsia="zh-CN" w:bidi="ar-SA"/>
              </w:rPr>
            </w:pPr>
            <w:r>
              <w:rPr>
                <w:rFonts w:hint="eastAsia" w:ascii="宋体" w:hAnsi="宋体" w:eastAsia="宋体" w:cs="宋体"/>
                <w:snapToGrid/>
                <w:color w:val="auto"/>
                <w:kern w:val="0"/>
                <w:sz w:val="24"/>
                <w:szCs w:val="24"/>
                <w:highlight w:val="none"/>
              </w:rPr>
              <w:t>2</w:t>
            </w:r>
            <w:r>
              <w:rPr>
                <w:rFonts w:hint="eastAsia" w:ascii="宋体" w:hAnsi="宋体" w:cs="宋体"/>
                <w:snapToGrid/>
                <w:color w:val="auto"/>
                <w:kern w:val="0"/>
                <w:sz w:val="24"/>
                <w:szCs w:val="24"/>
                <w:highlight w:val="none"/>
                <w:lang w:val="en-US" w:eastAsia="zh-CN"/>
              </w:rPr>
              <w:t>0</w:t>
            </w:r>
          </w:p>
        </w:tc>
        <w:tc>
          <w:tcPr>
            <w:tcW w:w="1626" w:type="dxa"/>
            <w:vAlign w:val="center"/>
          </w:tcPr>
          <w:p w14:paraId="5C9BF9AA">
            <w:pPr>
              <w:keepNext w:val="0"/>
              <w:keepLines w:val="0"/>
              <w:widowControl/>
              <w:suppressLineNumbers w:val="0"/>
              <w:spacing w:line="360" w:lineRule="auto"/>
              <w:jc w:val="center"/>
              <w:textAlignment w:val="center"/>
              <w:rPr>
                <w:rFonts w:hint="eastAsia" w:ascii="宋体" w:hAnsi="宋体" w:eastAsia="宋体" w:cs="宋体"/>
                <w:b w:val="0"/>
                <w:bCs w:val="0"/>
                <w:color w:val="auto"/>
                <w:sz w:val="24"/>
                <w:szCs w:val="24"/>
                <w:highlight w:val="none"/>
                <w:vertAlign w:val="baseline"/>
                <w:lang w:val="en-US" w:eastAsia="zh-CN"/>
              </w:rPr>
            </w:pPr>
          </w:p>
        </w:tc>
        <w:tc>
          <w:tcPr>
            <w:tcW w:w="1637" w:type="dxa"/>
            <w:vAlign w:val="center"/>
          </w:tcPr>
          <w:p w14:paraId="4E0FD96D">
            <w:pPr>
              <w:keepNext w:val="0"/>
              <w:keepLines w:val="0"/>
              <w:widowControl/>
              <w:suppressLineNumbers w:val="0"/>
              <w:spacing w:line="360" w:lineRule="auto"/>
              <w:jc w:val="center"/>
              <w:textAlignment w:val="center"/>
              <w:rPr>
                <w:rFonts w:hint="eastAsia" w:ascii="宋体" w:hAnsi="宋体" w:eastAsia="宋体" w:cs="宋体"/>
                <w:b w:val="0"/>
                <w:bCs w:val="0"/>
                <w:color w:val="auto"/>
                <w:sz w:val="24"/>
                <w:szCs w:val="24"/>
                <w:highlight w:val="none"/>
                <w:vertAlign w:val="baseline"/>
                <w:lang w:val="en-US" w:eastAsia="zh-CN"/>
              </w:rPr>
            </w:pPr>
          </w:p>
        </w:tc>
        <w:tc>
          <w:tcPr>
            <w:tcW w:w="1142" w:type="dxa"/>
            <w:vAlign w:val="center"/>
          </w:tcPr>
          <w:p w14:paraId="7FBF975D">
            <w:pPr>
              <w:keepNext w:val="0"/>
              <w:keepLines w:val="0"/>
              <w:widowControl/>
              <w:suppressLineNumbers w:val="0"/>
              <w:spacing w:line="360" w:lineRule="auto"/>
              <w:jc w:val="center"/>
              <w:textAlignment w:val="center"/>
              <w:rPr>
                <w:rFonts w:hint="eastAsia" w:ascii="宋体" w:hAnsi="宋体" w:eastAsia="宋体" w:cs="宋体"/>
                <w:b w:val="0"/>
                <w:bCs w:val="0"/>
                <w:color w:val="auto"/>
                <w:sz w:val="24"/>
                <w:szCs w:val="24"/>
                <w:highlight w:val="none"/>
                <w:vertAlign w:val="baseline"/>
                <w:lang w:val="en-US" w:eastAsia="zh-CN"/>
              </w:rPr>
            </w:pPr>
          </w:p>
        </w:tc>
      </w:tr>
      <w:tr w14:paraId="40549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jc w:val="center"/>
        </w:trPr>
        <w:tc>
          <w:tcPr>
            <w:tcW w:w="767" w:type="dxa"/>
            <w:shd w:val="clear" w:color="auto" w:fill="auto"/>
            <w:vAlign w:val="center"/>
          </w:tcPr>
          <w:p w14:paraId="32228044">
            <w:pPr>
              <w:autoSpaceDE w:val="0"/>
              <w:adjustRightInd w:val="0"/>
              <w:snapToGrid w:val="0"/>
              <w:spacing w:line="360" w:lineRule="auto"/>
              <w:jc w:val="center"/>
              <w:rPr>
                <w:rFonts w:hint="eastAsia" w:ascii="宋体" w:hAnsi="宋体" w:eastAsia="宋体" w:cs="宋体"/>
                <w:color w:val="auto"/>
                <w:kern w:val="2"/>
                <w:sz w:val="24"/>
                <w:szCs w:val="24"/>
                <w:highlight w:val="none"/>
                <w:lang w:val="en-US" w:eastAsia="zh-CN" w:bidi="ar"/>
              </w:rPr>
            </w:pPr>
            <w:r>
              <w:rPr>
                <w:rFonts w:hint="eastAsia" w:ascii="宋体" w:hAnsi="宋体" w:eastAsia="宋体" w:cs="宋体"/>
                <w:color w:val="auto"/>
                <w:sz w:val="24"/>
                <w:szCs w:val="24"/>
                <w:highlight w:val="none"/>
                <w:lang w:val="en-US" w:eastAsia="zh-CN" w:bidi="ar"/>
              </w:rPr>
              <w:t>5</w:t>
            </w:r>
          </w:p>
        </w:tc>
        <w:tc>
          <w:tcPr>
            <w:tcW w:w="2430" w:type="dxa"/>
            <w:shd w:val="clear" w:color="auto" w:fill="auto"/>
            <w:vAlign w:val="center"/>
          </w:tcPr>
          <w:p w14:paraId="65F64E18">
            <w:pPr>
              <w:widowControl/>
              <w:jc w:val="center"/>
              <w:rPr>
                <w:rFonts w:hint="eastAsia" w:ascii="宋体" w:hAnsi="宋体" w:eastAsia="宋体" w:cs="宋体"/>
                <w:snapToGrid/>
                <w:color w:val="auto"/>
                <w:kern w:val="0"/>
                <w:sz w:val="24"/>
                <w:szCs w:val="24"/>
                <w:highlight w:val="none"/>
                <w:lang w:val="en-US" w:eastAsia="zh-CN" w:bidi="ar-SA"/>
              </w:rPr>
            </w:pPr>
            <w:r>
              <w:rPr>
                <w:rFonts w:hint="eastAsia" w:ascii="宋体" w:hAnsi="宋体" w:eastAsia="宋体" w:cs="宋体"/>
                <w:snapToGrid/>
                <w:color w:val="auto"/>
                <w:kern w:val="0"/>
                <w:sz w:val="24"/>
                <w:szCs w:val="24"/>
                <w:highlight w:val="none"/>
              </w:rPr>
              <w:t>无线AP</w:t>
            </w:r>
          </w:p>
        </w:tc>
        <w:tc>
          <w:tcPr>
            <w:tcW w:w="989" w:type="dxa"/>
            <w:shd w:val="clear" w:color="auto" w:fill="auto"/>
            <w:vAlign w:val="center"/>
          </w:tcPr>
          <w:p w14:paraId="5AB25B86">
            <w:pPr>
              <w:widowControl/>
              <w:jc w:val="center"/>
              <w:rPr>
                <w:rFonts w:hint="eastAsia" w:ascii="宋体" w:hAnsi="宋体" w:eastAsia="宋体" w:cs="宋体"/>
                <w:snapToGrid/>
                <w:color w:val="auto"/>
                <w:kern w:val="0"/>
                <w:sz w:val="24"/>
                <w:szCs w:val="24"/>
                <w:highlight w:val="none"/>
                <w:lang w:val="en-US" w:eastAsia="zh-CN" w:bidi="ar-SA"/>
              </w:rPr>
            </w:pPr>
            <w:r>
              <w:rPr>
                <w:rFonts w:hint="eastAsia" w:ascii="宋体" w:hAnsi="宋体" w:eastAsia="宋体" w:cs="宋体"/>
                <w:snapToGrid/>
                <w:color w:val="auto"/>
                <w:kern w:val="0"/>
                <w:sz w:val="24"/>
                <w:szCs w:val="24"/>
                <w:highlight w:val="none"/>
              </w:rPr>
              <w:t>台</w:t>
            </w:r>
          </w:p>
        </w:tc>
        <w:tc>
          <w:tcPr>
            <w:tcW w:w="1159" w:type="dxa"/>
            <w:shd w:val="clear" w:color="auto" w:fill="auto"/>
            <w:vAlign w:val="center"/>
          </w:tcPr>
          <w:p w14:paraId="5EB5F285">
            <w:pPr>
              <w:widowControl/>
              <w:jc w:val="center"/>
              <w:rPr>
                <w:rFonts w:hint="eastAsia" w:ascii="宋体" w:hAnsi="宋体" w:eastAsia="宋体" w:cs="宋体"/>
                <w:snapToGrid/>
                <w:color w:val="auto"/>
                <w:kern w:val="0"/>
                <w:sz w:val="24"/>
                <w:szCs w:val="24"/>
                <w:highlight w:val="none"/>
                <w:lang w:val="en-US" w:eastAsia="zh-CN" w:bidi="ar-SA"/>
              </w:rPr>
            </w:pPr>
            <w:r>
              <w:rPr>
                <w:rFonts w:hint="eastAsia" w:ascii="宋体" w:hAnsi="宋体" w:eastAsia="宋体" w:cs="宋体"/>
                <w:snapToGrid/>
                <w:color w:val="auto"/>
                <w:kern w:val="0"/>
                <w:sz w:val="24"/>
                <w:szCs w:val="24"/>
                <w:highlight w:val="none"/>
                <w:lang w:val="en-US" w:eastAsia="zh-CN"/>
              </w:rPr>
              <w:t>4</w:t>
            </w:r>
          </w:p>
        </w:tc>
        <w:tc>
          <w:tcPr>
            <w:tcW w:w="1626" w:type="dxa"/>
            <w:vAlign w:val="center"/>
          </w:tcPr>
          <w:p w14:paraId="160C1F37">
            <w:pPr>
              <w:keepNext w:val="0"/>
              <w:keepLines w:val="0"/>
              <w:widowControl/>
              <w:suppressLineNumbers w:val="0"/>
              <w:spacing w:line="360" w:lineRule="auto"/>
              <w:jc w:val="center"/>
              <w:textAlignment w:val="center"/>
              <w:rPr>
                <w:rFonts w:hint="eastAsia" w:ascii="宋体" w:hAnsi="宋体" w:eastAsia="宋体" w:cs="宋体"/>
                <w:b w:val="0"/>
                <w:bCs w:val="0"/>
                <w:color w:val="auto"/>
                <w:sz w:val="24"/>
                <w:szCs w:val="24"/>
                <w:highlight w:val="none"/>
                <w:vertAlign w:val="baseline"/>
                <w:lang w:val="en-US" w:eastAsia="zh-CN"/>
              </w:rPr>
            </w:pPr>
          </w:p>
        </w:tc>
        <w:tc>
          <w:tcPr>
            <w:tcW w:w="1637" w:type="dxa"/>
            <w:vAlign w:val="center"/>
          </w:tcPr>
          <w:p w14:paraId="63236E2B">
            <w:pPr>
              <w:keepNext w:val="0"/>
              <w:keepLines w:val="0"/>
              <w:widowControl/>
              <w:suppressLineNumbers w:val="0"/>
              <w:spacing w:line="360" w:lineRule="auto"/>
              <w:jc w:val="center"/>
              <w:textAlignment w:val="center"/>
              <w:rPr>
                <w:rFonts w:hint="eastAsia" w:ascii="宋体" w:hAnsi="宋体" w:eastAsia="宋体" w:cs="宋体"/>
                <w:b w:val="0"/>
                <w:bCs w:val="0"/>
                <w:color w:val="auto"/>
                <w:sz w:val="24"/>
                <w:szCs w:val="24"/>
                <w:highlight w:val="none"/>
                <w:vertAlign w:val="baseline"/>
                <w:lang w:val="en-US" w:eastAsia="zh-CN"/>
              </w:rPr>
            </w:pPr>
          </w:p>
        </w:tc>
        <w:tc>
          <w:tcPr>
            <w:tcW w:w="1142" w:type="dxa"/>
            <w:vAlign w:val="center"/>
          </w:tcPr>
          <w:p w14:paraId="1D827A95">
            <w:pPr>
              <w:keepNext w:val="0"/>
              <w:keepLines w:val="0"/>
              <w:widowControl/>
              <w:suppressLineNumbers w:val="0"/>
              <w:spacing w:line="360" w:lineRule="auto"/>
              <w:jc w:val="center"/>
              <w:textAlignment w:val="center"/>
              <w:rPr>
                <w:rFonts w:hint="eastAsia" w:ascii="宋体" w:hAnsi="宋体" w:eastAsia="宋体" w:cs="宋体"/>
                <w:b w:val="0"/>
                <w:bCs w:val="0"/>
                <w:color w:val="auto"/>
                <w:sz w:val="24"/>
                <w:szCs w:val="24"/>
                <w:highlight w:val="none"/>
                <w:vertAlign w:val="baseline"/>
                <w:lang w:val="en-US" w:eastAsia="zh-CN"/>
              </w:rPr>
            </w:pPr>
          </w:p>
        </w:tc>
      </w:tr>
      <w:tr w14:paraId="34EB2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jc w:val="center"/>
        </w:trPr>
        <w:tc>
          <w:tcPr>
            <w:tcW w:w="767" w:type="dxa"/>
            <w:shd w:val="clear" w:color="auto" w:fill="auto"/>
            <w:vAlign w:val="center"/>
          </w:tcPr>
          <w:p w14:paraId="7A45EFC6">
            <w:pPr>
              <w:autoSpaceDE w:val="0"/>
              <w:adjustRightInd w:val="0"/>
              <w:snapToGrid w:val="0"/>
              <w:spacing w:line="360" w:lineRule="auto"/>
              <w:jc w:val="center"/>
              <w:rPr>
                <w:rFonts w:hint="eastAsia" w:ascii="宋体" w:hAnsi="宋体" w:eastAsia="宋体" w:cs="宋体"/>
                <w:color w:val="auto"/>
                <w:kern w:val="2"/>
                <w:sz w:val="24"/>
                <w:szCs w:val="24"/>
                <w:highlight w:val="none"/>
                <w:lang w:val="en-US" w:eastAsia="zh-CN" w:bidi="ar"/>
              </w:rPr>
            </w:pPr>
            <w:r>
              <w:rPr>
                <w:rFonts w:hint="eastAsia" w:ascii="宋体" w:hAnsi="宋体" w:eastAsia="宋体" w:cs="宋体"/>
                <w:color w:val="auto"/>
                <w:sz w:val="24"/>
                <w:szCs w:val="24"/>
                <w:highlight w:val="none"/>
                <w:lang w:val="en-US" w:eastAsia="zh-CN" w:bidi="ar"/>
              </w:rPr>
              <w:t>6</w:t>
            </w:r>
          </w:p>
        </w:tc>
        <w:tc>
          <w:tcPr>
            <w:tcW w:w="2430" w:type="dxa"/>
            <w:shd w:val="clear" w:color="auto" w:fill="auto"/>
            <w:vAlign w:val="center"/>
          </w:tcPr>
          <w:p w14:paraId="6461F2B0">
            <w:pPr>
              <w:widowControl/>
              <w:jc w:val="center"/>
              <w:rPr>
                <w:rFonts w:hint="eastAsia" w:ascii="宋体" w:hAnsi="宋体" w:eastAsia="宋体" w:cs="宋体"/>
                <w:snapToGrid/>
                <w:color w:val="auto"/>
                <w:kern w:val="0"/>
                <w:sz w:val="24"/>
                <w:szCs w:val="24"/>
                <w:highlight w:val="none"/>
                <w:lang w:val="en-US" w:eastAsia="zh-CN" w:bidi="ar-SA"/>
              </w:rPr>
            </w:pPr>
            <w:r>
              <w:rPr>
                <w:rFonts w:hint="eastAsia" w:ascii="宋体" w:hAnsi="宋体" w:eastAsia="宋体" w:cs="宋体"/>
                <w:snapToGrid/>
                <w:color w:val="auto"/>
                <w:kern w:val="0"/>
                <w:sz w:val="24"/>
                <w:szCs w:val="24"/>
                <w:highlight w:val="none"/>
              </w:rPr>
              <w:t>24口PoE交换机</w:t>
            </w:r>
          </w:p>
        </w:tc>
        <w:tc>
          <w:tcPr>
            <w:tcW w:w="989" w:type="dxa"/>
            <w:shd w:val="clear" w:color="auto" w:fill="auto"/>
            <w:vAlign w:val="center"/>
          </w:tcPr>
          <w:p w14:paraId="2CCB765F">
            <w:pPr>
              <w:widowControl/>
              <w:jc w:val="center"/>
              <w:rPr>
                <w:rFonts w:hint="eastAsia" w:ascii="宋体" w:hAnsi="宋体" w:eastAsia="宋体" w:cs="宋体"/>
                <w:snapToGrid/>
                <w:color w:val="auto"/>
                <w:kern w:val="0"/>
                <w:sz w:val="24"/>
                <w:szCs w:val="24"/>
                <w:highlight w:val="none"/>
                <w:lang w:val="en-US" w:eastAsia="zh-CN" w:bidi="ar-SA"/>
              </w:rPr>
            </w:pPr>
            <w:r>
              <w:rPr>
                <w:rFonts w:hint="eastAsia" w:ascii="宋体" w:hAnsi="宋体" w:eastAsia="宋体" w:cs="宋体"/>
                <w:snapToGrid/>
                <w:color w:val="auto"/>
                <w:kern w:val="0"/>
                <w:sz w:val="24"/>
                <w:szCs w:val="24"/>
                <w:highlight w:val="none"/>
              </w:rPr>
              <w:t>台</w:t>
            </w:r>
          </w:p>
        </w:tc>
        <w:tc>
          <w:tcPr>
            <w:tcW w:w="1159" w:type="dxa"/>
            <w:shd w:val="clear" w:color="auto" w:fill="auto"/>
            <w:vAlign w:val="center"/>
          </w:tcPr>
          <w:p w14:paraId="6CE643EB">
            <w:pPr>
              <w:widowControl/>
              <w:jc w:val="center"/>
              <w:rPr>
                <w:rFonts w:hint="eastAsia" w:ascii="宋体" w:hAnsi="宋体" w:eastAsia="宋体" w:cs="宋体"/>
                <w:snapToGrid/>
                <w:color w:val="auto"/>
                <w:kern w:val="0"/>
                <w:sz w:val="24"/>
                <w:szCs w:val="24"/>
                <w:highlight w:val="none"/>
                <w:lang w:val="en-US" w:eastAsia="zh-CN" w:bidi="ar-SA"/>
              </w:rPr>
            </w:pPr>
            <w:r>
              <w:rPr>
                <w:rFonts w:hint="eastAsia" w:ascii="宋体" w:hAnsi="宋体" w:eastAsia="宋体" w:cs="宋体"/>
                <w:snapToGrid/>
                <w:color w:val="auto"/>
                <w:kern w:val="0"/>
                <w:sz w:val="24"/>
                <w:szCs w:val="24"/>
                <w:highlight w:val="none"/>
              </w:rPr>
              <w:t>1</w:t>
            </w:r>
          </w:p>
        </w:tc>
        <w:tc>
          <w:tcPr>
            <w:tcW w:w="1626" w:type="dxa"/>
            <w:vAlign w:val="center"/>
          </w:tcPr>
          <w:p w14:paraId="5354EF63">
            <w:pPr>
              <w:keepNext w:val="0"/>
              <w:keepLines w:val="0"/>
              <w:widowControl/>
              <w:suppressLineNumbers w:val="0"/>
              <w:spacing w:line="360" w:lineRule="auto"/>
              <w:jc w:val="center"/>
              <w:textAlignment w:val="center"/>
              <w:rPr>
                <w:rFonts w:hint="eastAsia" w:ascii="宋体" w:hAnsi="宋体" w:eastAsia="宋体" w:cs="宋体"/>
                <w:b w:val="0"/>
                <w:bCs w:val="0"/>
                <w:color w:val="auto"/>
                <w:sz w:val="24"/>
                <w:szCs w:val="24"/>
                <w:highlight w:val="none"/>
                <w:vertAlign w:val="baseline"/>
                <w:lang w:val="en-US" w:eastAsia="zh-CN"/>
              </w:rPr>
            </w:pPr>
          </w:p>
        </w:tc>
        <w:tc>
          <w:tcPr>
            <w:tcW w:w="1637" w:type="dxa"/>
            <w:vAlign w:val="center"/>
          </w:tcPr>
          <w:p w14:paraId="42AAC641">
            <w:pPr>
              <w:keepNext w:val="0"/>
              <w:keepLines w:val="0"/>
              <w:widowControl/>
              <w:suppressLineNumbers w:val="0"/>
              <w:spacing w:line="360" w:lineRule="auto"/>
              <w:jc w:val="center"/>
              <w:textAlignment w:val="center"/>
              <w:rPr>
                <w:rFonts w:hint="eastAsia" w:ascii="宋体" w:hAnsi="宋体" w:eastAsia="宋体" w:cs="宋体"/>
                <w:b w:val="0"/>
                <w:bCs w:val="0"/>
                <w:color w:val="auto"/>
                <w:sz w:val="24"/>
                <w:szCs w:val="24"/>
                <w:highlight w:val="none"/>
                <w:vertAlign w:val="baseline"/>
                <w:lang w:val="en-US" w:eastAsia="zh-CN"/>
              </w:rPr>
            </w:pPr>
          </w:p>
        </w:tc>
        <w:tc>
          <w:tcPr>
            <w:tcW w:w="1142" w:type="dxa"/>
            <w:vAlign w:val="center"/>
          </w:tcPr>
          <w:p w14:paraId="53BD6AE2">
            <w:pPr>
              <w:keepNext w:val="0"/>
              <w:keepLines w:val="0"/>
              <w:widowControl/>
              <w:suppressLineNumbers w:val="0"/>
              <w:spacing w:line="360" w:lineRule="auto"/>
              <w:jc w:val="center"/>
              <w:textAlignment w:val="center"/>
              <w:rPr>
                <w:rFonts w:hint="eastAsia" w:ascii="宋体" w:hAnsi="宋体" w:eastAsia="宋体" w:cs="宋体"/>
                <w:b w:val="0"/>
                <w:bCs w:val="0"/>
                <w:color w:val="auto"/>
                <w:sz w:val="24"/>
                <w:szCs w:val="24"/>
                <w:highlight w:val="none"/>
                <w:vertAlign w:val="baseline"/>
                <w:lang w:val="en-US" w:eastAsia="zh-CN"/>
              </w:rPr>
            </w:pPr>
          </w:p>
        </w:tc>
      </w:tr>
      <w:tr w14:paraId="3EDDB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9750" w:type="dxa"/>
            <w:gridSpan w:val="7"/>
            <w:vAlign w:val="center"/>
          </w:tcPr>
          <w:p w14:paraId="12F6DEBA">
            <w:pPr>
              <w:keepNext w:val="0"/>
              <w:keepLines w:val="0"/>
              <w:widowControl/>
              <w:suppressLineNumbers w:val="0"/>
              <w:spacing w:line="36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b/>
                <w:bCs/>
                <w:color w:val="auto"/>
                <w:sz w:val="24"/>
                <w:szCs w:val="24"/>
                <w:highlight w:val="none"/>
                <w:lang w:val="en-US" w:eastAsia="zh-CN"/>
              </w:rPr>
              <w:t>合计：</w:t>
            </w:r>
          </w:p>
        </w:tc>
      </w:tr>
    </w:tbl>
    <w:p w14:paraId="647A89CE">
      <w:pPr>
        <w:adjustRightInd w:val="0"/>
        <w:snapToGrid w:val="0"/>
        <w:spacing w:line="360" w:lineRule="auto"/>
        <w:jc w:val="left"/>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lang w:val="en-US" w:eastAsia="zh-CN"/>
        </w:rPr>
        <w:t>注：1</w:t>
      </w:r>
      <w:r>
        <w:rPr>
          <w:rFonts w:hint="eastAsia" w:ascii="宋体" w:hAnsi="宋体" w:eastAsia="宋体" w:cs="宋体"/>
          <w:b/>
          <w:bCs/>
          <w:color w:val="auto"/>
          <w:szCs w:val="21"/>
          <w:highlight w:val="none"/>
        </w:rPr>
        <w:t>.此表中的内容请各</w:t>
      </w:r>
      <w:r>
        <w:rPr>
          <w:rFonts w:hint="eastAsia" w:ascii="宋体" w:hAnsi="宋体" w:eastAsia="宋体" w:cs="宋体"/>
          <w:b/>
          <w:bCs/>
          <w:color w:val="auto"/>
          <w:szCs w:val="21"/>
          <w:highlight w:val="none"/>
          <w:lang w:eastAsia="zh-CN"/>
        </w:rPr>
        <w:t>投标人</w:t>
      </w:r>
      <w:r>
        <w:rPr>
          <w:rFonts w:hint="eastAsia" w:ascii="宋体" w:hAnsi="宋体" w:eastAsia="宋体" w:cs="宋体"/>
          <w:b/>
          <w:bCs/>
          <w:color w:val="auto"/>
          <w:szCs w:val="21"/>
          <w:highlight w:val="none"/>
        </w:rPr>
        <w:t>根据招标文件的第</w:t>
      </w:r>
      <w:r>
        <w:rPr>
          <w:rFonts w:hint="eastAsia" w:ascii="宋体" w:hAnsi="宋体" w:eastAsia="宋体" w:cs="宋体"/>
          <w:b/>
          <w:bCs/>
          <w:color w:val="auto"/>
          <w:szCs w:val="21"/>
          <w:highlight w:val="none"/>
          <w:lang w:val="en-US" w:eastAsia="zh-CN"/>
        </w:rPr>
        <w:t>四</w:t>
      </w:r>
      <w:r>
        <w:rPr>
          <w:rFonts w:hint="eastAsia" w:ascii="宋体" w:hAnsi="宋体" w:eastAsia="宋体" w:cs="宋体"/>
          <w:b/>
          <w:bCs/>
          <w:color w:val="auto"/>
          <w:szCs w:val="21"/>
          <w:highlight w:val="none"/>
        </w:rPr>
        <w:t>章采购</w:t>
      </w:r>
      <w:r>
        <w:rPr>
          <w:rFonts w:hint="eastAsia" w:ascii="宋体" w:hAnsi="宋体" w:eastAsia="宋体" w:cs="宋体"/>
          <w:b/>
          <w:bCs/>
          <w:color w:val="auto"/>
          <w:szCs w:val="21"/>
          <w:highlight w:val="none"/>
          <w:lang w:val="en-US" w:eastAsia="zh-CN"/>
        </w:rPr>
        <w:t>需</w:t>
      </w:r>
      <w:r>
        <w:rPr>
          <w:rFonts w:hint="eastAsia" w:ascii="宋体" w:hAnsi="宋体" w:eastAsia="宋体" w:cs="宋体"/>
          <w:b/>
          <w:bCs/>
          <w:color w:val="auto"/>
          <w:szCs w:val="21"/>
          <w:highlight w:val="none"/>
        </w:rPr>
        <w:t>求内容顺序填写。</w:t>
      </w:r>
    </w:p>
    <w:p w14:paraId="153DD9A9">
      <w:pPr>
        <w:adjustRightInd w:val="0"/>
        <w:snapToGrid w:val="0"/>
        <w:spacing w:line="360" w:lineRule="auto"/>
        <w:jc w:val="left"/>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lang w:val="en-US" w:eastAsia="zh-CN"/>
        </w:rPr>
        <w:t>2</w:t>
      </w:r>
      <w:r>
        <w:rPr>
          <w:rFonts w:hint="eastAsia" w:ascii="宋体" w:hAnsi="宋体" w:eastAsia="宋体" w:cs="宋体"/>
          <w:b/>
          <w:bCs/>
          <w:color w:val="auto"/>
          <w:szCs w:val="21"/>
          <w:highlight w:val="none"/>
        </w:rPr>
        <w:t>.投标总报价应等于所有分项报价之和，并且必须与投标（报价）一览表中投标总报价一致。</w:t>
      </w:r>
    </w:p>
    <w:p w14:paraId="6D8998AF">
      <w:pPr>
        <w:adjustRightInd w:val="0"/>
        <w:snapToGrid w:val="0"/>
        <w:spacing w:line="360" w:lineRule="auto"/>
        <w:jc w:val="left"/>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lang w:val="en-US" w:eastAsia="zh-CN"/>
        </w:rPr>
        <w:t>3</w:t>
      </w:r>
      <w:r>
        <w:rPr>
          <w:rFonts w:hint="eastAsia" w:ascii="宋体" w:hAnsi="宋体" w:eastAsia="宋体" w:cs="宋体"/>
          <w:b/>
          <w:bCs/>
          <w:color w:val="auto"/>
          <w:szCs w:val="21"/>
          <w:highlight w:val="none"/>
        </w:rPr>
        <w:t>.所有价格均系用人民币表示，单位为元，小数点后保留两位。</w:t>
      </w:r>
    </w:p>
    <w:p w14:paraId="38E677FD">
      <w:pPr>
        <w:adjustRightInd w:val="0"/>
        <w:snapToGrid w:val="0"/>
        <w:spacing w:line="360" w:lineRule="auto"/>
        <w:jc w:val="left"/>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lang w:val="en-US" w:eastAsia="zh-CN"/>
        </w:rPr>
        <w:t>4</w:t>
      </w:r>
      <w:r>
        <w:rPr>
          <w:rFonts w:hint="eastAsia" w:ascii="宋体" w:hAnsi="宋体" w:eastAsia="宋体" w:cs="宋体"/>
          <w:b/>
          <w:bCs/>
          <w:color w:val="auto"/>
          <w:szCs w:val="21"/>
          <w:highlight w:val="none"/>
        </w:rPr>
        <w:t>.投标人可自行对报价内容补充完善，格式可自行扩展。</w:t>
      </w:r>
    </w:p>
    <w:p w14:paraId="79BE6FD1">
      <w:pPr>
        <w:ind w:right="210"/>
        <w:jc w:val="left"/>
        <w:rPr>
          <w:rFonts w:hint="eastAsia" w:ascii="宋体" w:hAnsi="宋体" w:eastAsia="宋体" w:cs="宋体"/>
          <w:color w:val="auto"/>
          <w:sz w:val="24"/>
          <w:highlight w:val="none"/>
        </w:rPr>
      </w:pPr>
    </w:p>
    <w:p w14:paraId="44F92D2B">
      <w:pPr>
        <w:ind w:right="210"/>
        <w:jc w:val="left"/>
        <w:rPr>
          <w:rFonts w:hint="eastAsia" w:ascii="宋体" w:hAnsi="宋体" w:eastAsia="宋体" w:cs="宋体"/>
          <w:color w:val="auto"/>
          <w:sz w:val="24"/>
          <w:highlight w:val="none"/>
        </w:rPr>
      </w:pPr>
    </w:p>
    <w:p w14:paraId="00B558EF">
      <w:pPr>
        <w:spacing w:line="480" w:lineRule="auto"/>
        <w:jc w:val="left"/>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投标人：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(电子签章) </w:t>
      </w:r>
    </w:p>
    <w:p w14:paraId="3B3E1AB0">
      <w:pPr>
        <w:spacing w:line="48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法定代表人或其委托代理人：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(电子签章或签名) </w:t>
      </w:r>
    </w:p>
    <w:p w14:paraId="65C5ECBB">
      <w:pPr>
        <w:spacing w:line="480" w:lineRule="auto"/>
        <w:jc w:val="left"/>
        <w:rPr>
          <w:rFonts w:hint="eastAsia" w:ascii="宋体" w:hAnsi="宋体" w:eastAsia="宋体" w:cs="宋体"/>
          <w:color w:val="auto"/>
          <w:highlight w:val="none"/>
        </w:rPr>
      </w:pPr>
      <w:r>
        <w:rPr>
          <w:rFonts w:hint="eastAsia" w:ascii="宋体" w:hAnsi="宋体" w:eastAsia="宋体" w:cs="宋体"/>
          <w:bCs/>
          <w:color w:val="auto"/>
          <w:sz w:val="24"/>
          <w:highlight w:val="none"/>
        </w:rPr>
        <w:t>日期：</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年</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月</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日</w:t>
      </w:r>
    </w:p>
    <w:bookmarkEnd w:id="251"/>
    <w:bookmarkEnd w:id="252"/>
    <w:bookmarkEnd w:id="253"/>
    <w:p w14:paraId="30C0F7E1">
      <w:pPr>
        <w:jc w:val="center"/>
        <w:outlineLvl w:val="1"/>
        <w:rPr>
          <w:rStyle w:val="136"/>
          <w:rFonts w:hint="eastAsia" w:ascii="宋体" w:hAnsi="宋体" w:eastAsia="宋体" w:cs="宋体"/>
          <w:color w:val="auto"/>
          <w:highlight w:val="none"/>
        </w:rPr>
      </w:pPr>
      <w:r>
        <w:rPr>
          <w:rStyle w:val="135"/>
          <w:rFonts w:hint="eastAsia" w:ascii="宋体" w:hAnsi="宋体" w:eastAsia="宋体" w:cs="宋体"/>
          <w:color w:val="auto"/>
          <w:sz w:val="36"/>
          <w:szCs w:val="22"/>
          <w:highlight w:val="none"/>
        </w:rPr>
        <w:br w:type="page"/>
      </w:r>
      <w:bookmarkStart w:id="254" w:name="_Toc28095"/>
      <w:bookmarkStart w:id="255" w:name="_Toc16500"/>
      <w:bookmarkStart w:id="256" w:name="_Toc17535"/>
      <w:bookmarkStart w:id="257" w:name="_Toc8716"/>
      <w:r>
        <w:rPr>
          <w:rStyle w:val="136"/>
          <w:rFonts w:hint="eastAsia" w:ascii="宋体" w:hAnsi="宋体" w:eastAsia="宋体" w:cs="宋体"/>
          <w:color w:val="auto"/>
          <w:highlight w:val="none"/>
        </w:rPr>
        <w:t>二、投标文件商务部分格式</w:t>
      </w:r>
      <w:bookmarkEnd w:id="254"/>
      <w:bookmarkEnd w:id="255"/>
      <w:bookmarkEnd w:id="256"/>
    </w:p>
    <w:bookmarkEnd w:id="257"/>
    <w:p w14:paraId="6BB12271">
      <w:pPr>
        <w:pStyle w:val="4"/>
        <w:spacing w:before="0" w:line="240" w:lineRule="atLeast"/>
        <w:jc w:val="center"/>
        <w:rPr>
          <w:rFonts w:hint="eastAsia" w:ascii="宋体" w:hAnsi="宋体" w:eastAsia="宋体" w:cs="宋体"/>
          <w:color w:val="auto"/>
          <w:szCs w:val="28"/>
          <w:highlight w:val="none"/>
        </w:rPr>
      </w:pPr>
      <w:bookmarkStart w:id="258" w:name="_Toc27956"/>
      <w:bookmarkStart w:id="259" w:name="_Toc5851"/>
      <w:r>
        <w:rPr>
          <w:rFonts w:hint="eastAsia" w:ascii="宋体" w:hAnsi="宋体" w:eastAsia="宋体" w:cs="宋体"/>
          <w:color w:val="auto"/>
          <w:szCs w:val="28"/>
          <w:highlight w:val="none"/>
        </w:rPr>
        <w:t>（一）投标函</w:t>
      </w:r>
      <w:bookmarkEnd w:id="258"/>
      <w:bookmarkEnd w:id="259"/>
    </w:p>
    <w:p w14:paraId="31CF9B17">
      <w:pPr>
        <w:pStyle w:val="21"/>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（采购人名称）</w:t>
      </w:r>
    </w:p>
    <w:p w14:paraId="73A1B2BE">
      <w:pPr>
        <w:pStyle w:val="21"/>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我方仔细研究了</w:t>
      </w:r>
      <w:r>
        <w:rPr>
          <w:rFonts w:hint="eastAsia" w:ascii="宋体" w:hAnsi="宋体" w:eastAsia="宋体" w:cs="宋体"/>
          <w:color w:val="auto"/>
          <w:sz w:val="24"/>
          <w:szCs w:val="24"/>
          <w:highlight w:val="none"/>
          <w:u w:val="single"/>
        </w:rPr>
        <w:t>（采购项目名称）</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lang w:val="en-US" w:eastAsia="zh-CN"/>
        </w:rPr>
        <w:t>标段号及名称：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）项目招标文件的全部内容，正式授权下述签字人 </w:t>
      </w:r>
      <w:r>
        <w:rPr>
          <w:rFonts w:hint="eastAsia" w:ascii="宋体" w:hAnsi="宋体" w:eastAsia="宋体" w:cs="宋体"/>
          <w:color w:val="auto"/>
          <w:sz w:val="24"/>
          <w:szCs w:val="24"/>
          <w:highlight w:val="none"/>
          <w:u w:val="single"/>
        </w:rPr>
        <w:t xml:space="preserve">（姓名和职务） </w:t>
      </w:r>
      <w:r>
        <w:rPr>
          <w:rFonts w:hint="eastAsia" w:ascii="宋体" w:hAnsi="宋体" w:eastAsia="宋体" w:cs="宋体"/>
          <w:color w:val="auto"/>
          <w:sz w:val="24"/>
          <w:szCs w:val="24"/>
          <w:highlight w:val="none"/>
        </w:rPr>
        <w:t>全权代表投标人</w:t>
      </w:r>
      <w:r>
        <w:rPr>
          <w:rFonts w:hint="eastAsia" w:ascii="宋体" w:hAnsi="宋体" w:eastAsia="宋体" w:cs="宋体"/>
          <w:color w:val="auto"/>
          <w:sz w:val="24"/>
          <w:szCs w:val="24"/>
          <w:highlight w:val="none"/>
          <w:u w:val="single"/>
        </w:rPr>
        <w:t xml:space="preserve"> （投标人全称）    </w:t>
      </w:r>
      <w:r>
        <w:rPr>
          <w:rFonts w:hint="eastAsia" w:ascii="宋体" w:hAnsi="宋体" w:eastAsia="宋体" w:cs="宋体"/>
          <w:color w:val="auto"/>
          <w:sz w:val="24"/>
          <w:szCs w:val="24"/>
          <w:highlight w:val="none"/>
        </w:rPr>
        <w:t>参加投标，并提交投标文件。</w:t>
      </w:r>
    </w:p>
    <w:p w14:paraId="246B8163">
      <w:pPr>
        <w:pStyle w:val="21"/>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1.按招标文件采购需求，对本项目投标总报价为：小写：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55EA0C3">
      <w:pPr>
        <w:pStyle w:val="21"/>
        <w:spacing w:line="360" w:lineRule="auto"/>
        <w:ind w:firstLine="480" w:firstLineChars="200"/>
        <w:rPr>
          <w:rFonts w:hint="eastAsia" w:ascii="宋体" w:hAnsi="宋体" w:eastAsia="宋体" w:cs="宋体"/>
          <w:color w:val="auto"/>
          <w:spacing w:val="-10"/>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pacing w:val="-10"/>
          <w:sz w:val="24"/>
          <w:szCs w:val="24"/>
          <w:highlight w:val="none"/>
        </w:rPr>
        <w:t>方已详细审查全部招标文件，包括</w:t>
      </w:r>
      <w:r>
        <w:rPr>
          <w:rFonts w:hint="eastAsia" w:ascii="宋体" w:hAnsi="宋体" w:eastAsia="宋体" w:cs="宋体"/>
          <w:iCs/>
          <w:color w:val="auto"/>
          <w:spacing w:val="-10"/>
          <w:sz w:val="24"/>
          <w:szCs w:val="24"/>
          <w:highlight w:val="none"/>
          <w:u w:val="single"/>
        </w:rPr>
        <w:t>（澄清文件）</w:t>
      </w:r>
      <w:r>
        <w:rPr>
          <w:rFonts w:hint="eastAsia" w:ascii="宋体" w:hAnsi="宋体" w:eastAsia="宋体" w:cs="宋体"/>
          <w:color w:val="auto"/>
          <w:spacing w:val="-10"/>
          <w:sz w:val="24"/>
          <w:szCs w:val="24"/>
          <w:highlight w:val="none"/>
          <w:u w:val="single"/>
        </w:rPr>
        <w:t>(如果有的话)</w:t>
      </w:r>
      <w:r>
        <w:rPr>
          <w:rFonts w:hint="eastAsia" w:ascii="宋体" w:hAnsi="宋体" w:eastAsia="宋体" w:cs="宋体"/>
          <w:color w:val="auto"/>
          <w:spacing w:val="-10"/>
          <w:sz w:val="24"/>
          <w:szCs w:val="24"/>
          <w:highlight w:val="none"/>
        </w:rPr>
        <w:t>。我方完全理解相关文件要求，并承担对这方面有不明及误解的后果。</w:t>
      </w:r>
    </w:p>
    <w:p w14:paraId="426363E5">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3.在投标人须知规定的开标日期起遵循本投标文件，并在投标人须知规定的投标文件有效期满之前均具有约束力。</w:t>
      </w:r>
    </w:p>
    <w:p w14:paraId="1AE8F41F">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4.同意应贵方要求提供与本投标有关的任何数据或资料，并保证数据和资料的完整性和真实性。</w:t>
      </w:r>
    </w:p>
    <w:p w14:paraId="5CF99730">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5.完全理解贵方不一定要接受最低报价的投标人为中标人的行为。</w:t>
      </w:r>
    </w:p>
    <w:p w14:paraId="0306F2FB">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6．如我方中标：</w:t>
      </w:r>
    </w:p>
    <w:p w14:paraId="23C34898">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（1）我方承诺在收到中标通知书后，在中标通知书规定的期限内与你方签订合同，并履行相应的合同责任和义务。</w:t>
      </w:r>
    </w:p>
    <w:p w14:paraId="38E32804">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（2）我方承诺按照招标文件规定向你方递交履约担保。</w:t>
      </w:r>
    </w:p>
    <w:p w14:paraId="0C1FF7E3">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（3）我方承诺将承担售后服务及保修责任。</w:t>
      </w:r>
    </w:p>
    <w:p w14:paraId="3D07C5AE">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7．我方在此声明，所递交的投标文件及有关资料内容完整、真实和准确。</w:t>
      </w:r>
    </w:p>
    <w:p w14:paraId="5349F0CD">
      <w:pPr>
        <w:spacing w:line="360" w:lineRule="auto"/>
        <w:ind w:firstLine="480" w:firstLineChars="200"/>
        <w:rPr>
          <w:rFonts w:hint="eastAsia" w:ascii="宋体" w:hAnsi="宋体" w:eastAsia="宋体" w:cs="宋体"/>
          <w:color w:val="auto"/>
          <w:kern w:val="1"/>
          <w:sz w:val="24"/>
          <w:highlight w:val="none"/>
        </w:rPr>
      </w:pPr>
      <w:r>
        <w:rPr>
          <w:rFonts w:hint="eastAsia" w:ascii="宋体" w:hAnsi="宋体" w:eastAsia="宋体" w:cs="宋体"/>
          <w:color w:val="auto"/>
          <w:sz w:val="24"/>
          <w:highlight w:val="none"/>
        </w:rPr>
        <w:t>8.（其他补充说明）。</w:t>
      </w:r>
    </w:p>
    <w:p w14:paraId="73535CF1">
      <w:pPr>
        <w:spacing w:line="360" w:lineRule="auto"/>
        <w:ind w:firstLine="480" w:firstLineChars="200"/>
        <w:rPr>
          <w:rFonts w:hint="eastAsia" w:ascii="宋体" w:hAnsi="宋体" w:eastAsia="宋体" w:cs="宋体"/>
          <w:color w:val="auto"/>
          <w:kern w:val="1"/>
          <w:sz w:val="24"/>
          <w:highlight w:val="none"/>
          <w:u w:val="single"/>
        </w:rPr>
      </w:pPr>
      <w:r>
        <w:rPr>
          <w:rFonts w:hint="eastAsia" w:ascii="宋体" w:hAnsi="宋体" w:eastAsia="宋体" w:cs="宋体"/>
          <w:color w:val="auto"/>
          <w:kern w:val="1"/>
          <w:sz w:val="24"/>
          <w:highlight w:val="none"/>
        </w:rPr>
        <w:t>与本投标有关的正式通讯地址为：</w:t>
      </w:r>
    </w:p>
    <w:p w14:paraId="73C74928">
      <w:pPr>
        <w:spacing w:line="360" w:lineRule="auto"/>
        <w:ind w:firstLine="480" w:firstLineChars="200"/>
        <w:rPr>
          <w:rFonts w:hint="eastAsia" w:ascii="宋体" w:hAnsi="宋体" w:eastAsia="宋体" w:cs="宋体"/>
          <w:color w:val="auto"/>
          <w:kern w:val="1"/>
          <w:sz w:val="24"/>
          <w:highlight w:val="none"/>
        </w:rPr>
      </w:pPr>
      <w:r>
        <w:rPr>
          <w:rFonts w:hint="eastAsia" w:ascii="宋体" w:hAnsi="宋体" w:eastAsia="宋体" w:cs="宋体"/>
          <w:color w:val="auto"/>
          <w:kern w:val="1"/>
          <w:sz w:val="24"/>
          <w:highlight w:val="none"/>
        </w:rPr>
        <w:t>地址：</w:t>
      </w:r>
      <w:r>
        <w:rPr>
          <w:rFonts w:hint="eastAsia" w:ascii="宋体" w:hAnsi="宋体" w:eastAsia="宋体" w:cs="宋体"/>
          <w:color w:val="auto"/>
          <w:kern w:val="1"/>
          <w:sz w:val="24"/>
          <w:highlight w:val="none"/>
          <w:u w:val="single"/>
        </w:rPr>
        <w:t xml:space="preserve">        </w:t>
      </w:r>
      <w:r>
        <w:rPr>
          <w:rFonts w:hint="eastAsia" w:ascii="宋体" w:hAnsi="宋体" w:eastAsia="宋体" w:cs="宋体"/>
          <w:color w:val="auto"/>
          <w:kern w:val="1"/>
          <w:sz w:val="24"/>
          <w:highlight w:val="none"/>
        </w:rPr>
        <w:t>邮政编码：</w:t>
      </w:r>
      <w:r>
        <w:rPr>
          <w:rFonts w:hint="eastAsia" w:ascii="宋体" w:hAnsi="宋体" w:eastAsia="宋体" w:cs="宋体"/>
          <w:color w:val="auto"/>
          <w:kern w:val="1"/>
          <w:sz w:val="24"/>
          <w:highlight w:val="none"/>
          <w:u w:val="single"/>
        </w:rPr>
        <w:t xml:space="preserve">       </w:t>
      </w:r>
      <w:r>
        <w:rPr>
          <w:rFonts w:hint="eastAsia" w:ascii="宋体" w:hAnsi="宋体" w:eastAsia="宋体" w:cs="宋体"/>
          <w:color w:val="auto"/>
          <w:kern w:val="1"/>
          <w:sz w:val="24"/>
          <w:highlight w:val="none"/>
        </w:rPr>
        <w:t>电话：</w:t>
      </w:r>
      <w:r>
        <w:rPr>
          <w:rFonts w:hint="eastAsia" w:ascii="宋体" w:hAnsi="宋体" w:eastAsia="宋体" w:cs="宋体"/>
          <w:color w:val="auto"/>
          <w:kern w:val="1"/>
          <w:sz w:val="24"/>
          <w:highlight w:val="none"/>
          <w:u w:val="single"/>
        </w:rPr>
        <w:t xml:space="preserve">        </w:t>
      </w:r>
      <w:r>
        <w:rPr>
          <w:rFonts w:hint="eastAsia" w:ascii="宋体" w:hAnsi="宋体" w:eastAsia="宋体" w:cs="宋体"/>
          <w:color w:val="auto"/>
          <w:kern w:val="1"/>
          <w:sz w:val="24"/>
          <w:highlight w:val="none"/>
        </w:rPr>
        <w:t>传真：</w:t>
      </w:r>
      <w:r>
        <w:rPr>
          <w:rFonts w:hint="eastAsia" w:ascii="宋体" w:hAnsi="宋体" w:eastAsia="宋体" w:cs="宋体"/>
          <w:color w:val="auto"/>
          <w:kern w:val="1"/>
          <w:sz w:val="24"/>
          <w:highlight w:val="none"/>
          <w:u w:val="single"/>
        </w:rPr>
        <w:tab/>
      </w:r>
      <w:r>
        <w:rPr>
          <w:rFonts w:hint="eastAsia" w:ascii="宋体" w:hAnsi="宋体" w:eastAsia="宋体" w:cs="宋体"/>
          <w:color w:val="auto"/>
          <w:kern w:val="1"/>
          <w:sz w:val="24"/>
          <w:highlight w:val="none"/>
          <w:u w:val="single"/>
        </w:rPr>
        <w:t xml:space="preserve">      </w:t>
      </w:r>
    </w:p>
    <w:p w14:paraId="2C7B2D40">
      <w:pPr>
        <w:spacing w:line="360" w:lineRule="auto"/>
        <w:ind w:firstLine="480" w:firstLineChars="200"/>
        <w:rPr>
          <w:rFonts w:hint="eastAsia" w:ascii="宋体" w:hAnsi="宋体" w:eastAsia="宋体" w:cs="宋体"/>
          <w:color w:val="auto"/>
          <w:kern w:val="1"/>
          <w:sz w:val="24"/>
          <w:highlight w:val="none"/>
        </w:rPr>
      </w:pPr>
      <w:r>
        <w:rPr>
          <w:rFonts w:hint="eastAsia" w:ascii="宋体" w:hAnsi="宋体" w:eastAsia="宋体" w:cs="宋体"/>
          <w:color w:val="auto"/>
          <w:kern w:val="1"/>
          <w:sz w:val="24"/>
          <w:highlight w:val="none"/>
        </w:rPr>
        <w:t>开户名称：</w:t>
      </w:r>
      <w:r>
        <w:rPr>
          <w:rFonts w:hint="eastAsia" w:ascii="宋体" w:hAnsi="宋体" w:eastAsia="宋体" w:cs="宋体"/>
          <w:color w:val="auto"/>
          <w:kern w:val="1"/>
          <w:sz w:val="24"/>
          <w:highlight w:val="none"/>
          <w:u w:val="single"/>
        </w:rPr>
        <w:t xml:space="preserve">               </w:t>
      </w:r>
      <w:r>
        <w:rPr>
          <w:rFonts w:hint="eastAsia" w:ascii="宋体" w:hAnsi="宋体" w:eastAsia="宋体" w:cs="宋体"/>
          <w:color w:val="auto"/>
          <w:kern w:val="1"/>
          <w:sz w:val="24"/>
          <w:highlight w:val="none"/>
        </w:rPr>
        <w:t>开户银行：</w:t>
      </w:r>
      <w:r>
        <w:rPr>
          <w:rFonts w:hint="eastAsia" w:ascii="宋体" w:hAnsi="宋体" w:eastAsia="宋体" w:cs="宋体"/>
          <w:color w:val="auto"/>
          <w:kern w:val="1"/>
          <w:sz w:val="24"/>
          <w:highlight w:val="none"/>
          <w:u w:val="single"/>
        </w:rPr>
        <w:t xml:space="preserve">                     </w:t>
      </w:r>
    </w:p>
    <w:p w14:paraId="035735D8">
      <w:pPr>
        <w:spacing w:line="360" w:lineRule="auto"/>
        <w:ind w:firstLine="480" w:firstLineChars="200"/>
        <w:rPr>
          <w:rFonts w:hint="eastAsia" w:ascii="宋体" w:hAnsi="宋体" w:eastAsia="宋体" w:cs="宋体"/>
          <w:color w:val="auto"/>
          <w:kern w:val="1"/>
          <w:sz w:val="24"/>
          <w:highlight w:val="none"/>
          <w:u w:val="single"/>
        </w:rPr>
      </w:pPr>
      <w:r>
        <w:rPr>
          <w:rFonts w:hint="eastAsia" w:ascii="宋体" w:hAnsi="宋体" w:eastAsia="宋体" w:cs="宋体"/>
          <w:color w:val="auto"/>
          <w:kern w:val="1"/>
          <w:sz w:val="24"/>
          <w:highlight w:val="none"/>
        </w:rPr>
        <w:t>帐</w:t>
      </w:r>
      <w:r>
        <w:rPr>
          <w:rFonts w:hint="eastAsia" w:ascii="宋体" w:hAnsi="宋体" w:eastAsia="宋体" w:cs="宋体"/>
          <w:color w:val="auto"/>
          <w:kern w:val="1"/>
          <w:sz w:val="24"/>
          <w:highlight w:val="none"/>
        </w:rPr>
        <w:tab/>
      </w:r>
      <w:r>
        <w:rPr>
          <w:rFonts w:hint="eastAsia" w:ascii="宋体" w:hAnsi="宋体" w:eastAsia="宋体" w:cs="宋体"/>
          <w:color w:val="auto"/>
          <w:kern w:val="1"/>
          <w:sz w:val="24"/>
          <w:highlight w:val="none"/>
        </w:rPr>
        <w:t xml:space="preserve">号： </w:t>
      </w:r>
      <w:r>
        <w:rPr>
          <w:rFonts w:hint="eastAsia" w:ascii="宋体" w:hAnsi="宋体" w:eastAsia="宋体" w:cs="宋体"/>
          <w:color w:val="auto"/>
          <w:kern w:val="1"/>
          <w:sz w:val="24"/>
          <w:highlight w:val="none"/>
          <w:u w:val="single"/>
        </w:rPr>
        <w:t xml:space="preserve">                          </w:t>
      </w:r>
    </w:p>
    <w:p w14:paraId="5AD0C5AA">
      <w:pPr>
        <w:spacing w:line="360" w:lineRule="auto"/>
        <w:ind w:firstLine="480" w:firstLineChars="200"/>
        <w:jc w:val="left"/>
        <w:rPr>
          <w:rFonts w:hint="eastAsia" w:ascii="宋体" w:hAnsi="宋体" w:eastAsia="宋体" w:cs="宋体"/>
          <w:bCs/>
          <w:color w:val="auto"/>
          <w:sz w:val="24"/>
          <w:highlight w:val="none"/>
          <w:u w:val="single"/>
        </w:rPr>
      </w:pPr>
      <w:bookmarkStart w:id="260" w:name="_Toc8168205"/>
      <w:bookmarkStart w:id="261" w:name="_Toc11545"/>
      <w:r>
        <w:rPr>
          <w:rFonts w:hint="eastAsia" w:ascii="宋体" w:hAnsi="宋体" w:eastAsia="宋体" w:cs="宋体"/>
          <w:bCs/>
          <w:color w:val="auto"/>
          <w:sz w:val="24"/>
          <w:highlight w:val="none"/>
        </w:rPr>
        <w:t>投标人：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(电子签章) </w:t>
      </w:r>
    </w:p>
    <w:p w14:paraId="1B2797B3">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法定代表人或其委托代理人：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(电子签章或签名) </w:t>
      </w:r>
    </w:p>
    <w:p w14:paraId="7DBD13FD">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日期：</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年</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月</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日</w:t>
      </w:r>
    </w:p>
    <w:p w14:paraId="792488E2">
      <w:pPr>
        <w:rPr>
          <w:rFonts w:hint="eastAsia" w:ascii="宋体" w:hAnsi="宋体" w:eastAsia="宋体" w:cs="宋体"/>
          <w:color w:val="auto"/>
          <w:szCs w:val="28"/>
          <w:highlight w:val="none"/>
        </w:rPr>
      </w:pPr>
      <w:bookmarkStart w:id="262" w:name="_Toc26723"/>
      <w:r>
        <w:rPr>
          <w:rFonts w:hint="eastAsia" w:ascii="宋体" w:hAnsi="宋体" w:eastAsia="宋体" w:cs="宋体"/>
          <w:color w:val="auto"/>
          <w:szCs w:val="28"/>
          <w:highlight w:val="none"/>
        </w:rPr>
        <w:br w:type="page"/>
      </w:r>
    </w:p>
    <w:p w14:paraId="3E04DAFC">
      <w:pPr>
        <w:pStyle w:val="4"/>
        <w:spacing w:before="0"/>
        <w:jc w:val="center"/>
        <w:rPr>
          <w:rFonts w:hint="eastAsia" w:ascii="宋体" w:hAnsi="宋体" w:eastAsia="宋体" w:cs="宋体"/>
          <w:color w:val="auto"/>
          <w:szCs w:val="28"/>
          <w:highlight w:val="none"/>
        </w:rPr>
      </w:pPr>
      <w:r>
        <w:rPr>
          <w:rFonts w:hint="eastAsia" w:ascii="宋体" w:hAnsi="宋体" w:eastAsia="宋体" w:cs="宋体"/>
          <w:color w:val="auto"/>
          <w:szCs w:val="28"/>
          <w:highlight w:val="none"/>
        </w:rPr>
        <w:t>（二）法定代表人身份证明书</w:t>
      </w:r>
      <w:bookmarkEnd w:id="260"/>
      <w:bookmarkEnd w:id="261"/>
      <w:bookmarkEnd w:id="262"/>
    </w:p>
    <w:p w14:paraId="7A3D7920">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投标人名称：</w:t>
      </w:r>
      <w:r>
        <w:rPr>
          <w:rFonts w:hint="eastAsia" w:ascii="宋体" w:hAnsi="宋体" w:eastAsia="宋体" w:cs="宋体"/>
          <w:color w:val="auto"/>
          <w:sz w:val="24"/>
          <w:highlight w:val="none"/>
          <w:u w:val="single"/>
        </w:rPr>
        <w:t xml:space="preserve">                       </w:t>
      </w:r>
    </w:p>
    <w:p w14:paraId="0C494431">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单位性质：</w:t>
      </w:r>
      <w:r>
        <w:rPr>
          <w:rFonts w:hint="eastAsia" w:ascii="宋体" w:hAnsi="宋体" w:eastAsia="宋体" w:cs="宋体"/>
          <w:color w:val="auto"/>
          <w:sz w:val="24"/>
          <w:highlight w:val="none"/>
          <w:u w:val="single"/>
        </w:rPr>
        <w:t xml:space="preserve">                         </w:t>
      </w:r>
    </w:p>
    <w:p w14:paraId="61C224A2">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成立时间：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39D65134">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经营期限：</w:t>
      </w:r>
      <w:r>
        <w:rPr>
          <w:rFonts w:hint="eastAsia" w:ascii="宋体" w:hAnsi="宋体" w:eastAsia="宋体" w:cs="宋体"/>
          <w:color w:val="auto"/>
          <w:sz w:val="24"/>
          <w:highlight w:val="none"/>
          <w:u w:val="single"/>
        </w:rPr>
        <w:t xml:space="preserve">                       </w:t>
      </w:r>
    </w:p>
    <w:p w14:paraId="0F205EAD">
      <w:pPr>
        <w:spacing w:line="360"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姓名：</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性别：</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年龄：</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职务：</w:t>
      </w:r>
      <w:r>
        <w:rPr>
          <w:rFonts w:hint="eastAsia" w:ascii="宋体" w:hAnsi="宋体" w:eastAsia="宋体" w:cs="宋体"/>
          <w:color w:val="auto"/>
          <w:sz w:val="24"/>
          <w:highlight w:val="none"/>
          <w:u w:val="single"/>
        </w:rPr>
        <w:t xml:space="preserve">       </w:t>
      </w:r>
    </w:p>
    <w:p w14:paraId="0DDF9D85">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系</w:t>
      </w:r>
      <w:r>
        <w:rPr>
          <w:rFonts w:hint="eastAsia" w:ascii="宋体" w:hAnsi="宋体" w:eastAsia="宋体" w:cs="宋体"/>
          <w:color w:val="auto"/>
          <w:sz w:val="24"/>
          <w:highlight w:val="none"/>
          <w:u w:val="single"/>
        </w:rPr>
        <w:t xml:space="preserve">（投标人名称）        </w:t>
      </w:r>
      <w:r>
        <w:rPr>
          <w:rFonts w:hint="eastAsia" w:ascii="宋体" w:hAnsi="宋体" w:eastAsia="宋体" w:cs="宋体"/>
          <w:color w:val="auto"/>
          <w:sz w:val="24"/>
          <w:highlight w:val="none"/>
        </w:rPr>
        <w:t>的法定代表人。</w:t>
      </w:r>
    </w:p>
    <w:p w14:paraId="0D33157F">
      <w:pPr>
        <w:spacing w:line="360" w:lineRule="auto"/>
        <w:ind w:firstLine="480" w:firstLineChars="200"/>
        <w:rPr>
          <w:rFonts w:hint="eastAsia" w:ascii="宋体" w:hAnsi="宋体" w:eastAsia="宋体" w:cs="宋体"/>
          <w:color w:val="auto"/>
          <w:sz w:val="24"/>
          <w:highlight w:val="none"/>
        </w:rPr>
      </w:pPr>
    </w:p>
    <w:p w14:paraId="0AB97085">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特此证明。</w:t>
      </w:r>
    </w:p>
    <w:p w14:paraId="35A21F8C">
      <w:pPr>
        <w:spacing w:line="360" w:lineRule="auto"/>
        <w:rPr>
          <w:rFonts w:hint="eastAsia" w:ascii="宋体" w:hAnsi="宋体" w:eastAsia="宋体" w:cs="宋体"/>
          <w:color w:val="auto"/>
          <w:sz w:val="24"/>
          <w:highlight w:val="none"/>
        </w:rPr>
      </w:pPr>
    </w:p>
    <w:p w14:paraId="64E222F5">
      <w:pPr>
        <w:spacing w:line="360" w:lineRule="auto"/>
        <w:ind w:firstLine="480" w:firstLineChars="200"/>
        <w:jc w:val="left"/>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投标人：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(电子签章) </w:t>
      </w:r>
    </w:p>
    <w:p w14:paraId="6FD82537">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日期：</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年</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月</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日</w:t>
      </w:r>
    </w:p>
    <w:p w14:paraId="006C81C4">
      <w:pPr>
        <w:spacing w:line="360" w:lineRule="auto"/>
        <w:rPr>
          <w:rFonts w:hint="eastAsia" w:ascii="宋体" w:hAnsi="宋体" w:eastAsia="宋体" w:cs="宋体"/>
          <w:color w:val="auto"/>
          <w:sz w:val="24"/>
          <w:highlight w:val="none"/>
        </w:rPr>
      </w:pPr>
    </w:p>
    <w:p w14:paraId="5174FF3F">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附:法人身份证扫描件</w:t>
      </w:r>
    </w:p>
    <w:p w14:paraId="74EE5C92">
      <w:pPr>
        <w:spacing w:line="360" w:lineRule="auto"/>
        <w:ind w:firstLine="1680" w:firstLineChars="700"/>
        <w:rPr>
          <w:rFonts w:hint="eastAsia" w:ascii="宋体" w:hAnsi="宋体" w:eastAsia="宋体" w:cs="宋体"/>
          <w:color w:val="auto"/>
          <w:sz w:val="24"/>
          <w:highlight w:val="none"/>
        </w:rPr>
      </w:pPr>
      <w:r>
        <w:rPr>
          <w:rFonts w:hint="eastAsia" w:ascii="宋体" w:hAnsi="宋体" w:eastAsia="宋体" w:cs="宋体"/>
          <w:color w:val="auto"/>
          <w:sz w:val="24"/>
          <w:highlight w:val="none"/>
        </w:rPr>
        <w:t>正面                                   背面</w:t>
      </w:r>
    </w:p>
    <w:p w14:paraId="79637A01">
      <w:pPr>
        <w:spacing w:line="360" w:lineRule="auto"/>
        <w:rPr>
          <w:rFonts w:hint="eastAsia" w:ascii="宋体" w:hAnsi="宋体" w:eastAsia="宋体" w:cs="宋体"/>
          <w:color w:val="auto"/>
          <w:szCs w:val="21"/>
          <w:highlight w:val="none"/>
        </w:rPr>
      </w:pPr>
      <w:r>
        <w:rPr>
          <w:rFonts w:hint="eastAsia" w:ascii="宋体" w:hAnsi="宋体" w:eastAsia="宋体" w:cs="宋体"/>
          <w:color w:val="auto"/>
          <w:highlight w:val="none"/>
        </w:rPr>
        <mc:AlternateContent>
          <mc:Choice Requires="wps">
            <w:drawing>
              <wp:anchor distT="0" distB="0" distL="114300" distR="114300" simplePos="0" relativeHeight="251660288" behindDoc="0" locked="0" layoutInCell="1" allowOverlap="1">
                <wp:simplePos x="0" y="0"/>
                <wp:positionH relativeFrom="column">
                  <wp:posOffset>34925</wp:posOffset>
                </wp:positionH>
                <wp:positionV relativeFrom="paragraph">
                  <wp:posOffset>161925</wp:posOffset>
                </wp:positionV>
                <wp:extent cx="2707640" cy="1842770"/>
                <wp:effectExtent l="5080" t="5080" r="5080" b="6350"/>
                <wp:wrapNone/>
                <wp:docPr id="1" name="矩形 9"/>
                <wp:cNvGraphicFramePr/>
                <a:graphic xmlns:a="http://schemas.openxmlformats.org/drawingml/2006/main">
                  <a:graphicData uri="http://schemas.microsoft.com/office/word/2010/wordprocessingShape">
                    <wps:wsp>
                      <wps:cNvSpPr/>
                      <wps:spPr>
                        <a:xfrm>
                          <a:off x="0" y="0"/>
                          <a:ext cx="2707640" cy="184277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矩形 9" o:spid="_x0000_s1026" o:spt="1" style="position:absolute;left:0pt;margin-left:2.75pt;margin-top:12.75pt;height:145.1pt;width:213.2pt;z-index:251660288;mso-width-relative:page;mso-height-relative:page;" fillcolor="#FFFFFF" filled="t" stroked="t" coordsize="21600,21600" o:gfxdata="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B5VqndcAAAAIAQAADwAAAAAAAAABACAAAAAiAAAAZHJzL2Rvd25y&#10;ZXYueG1sUEsBAhQAFAAAAAgAh07iQGAhf5n/AQAAHwQAAA4AAAAAAAAAAQAgAAAAJgEAAGRycy9l&#10;Mm9Eb2MueG1sUEsFBgAAAAAGAAYAWQEAAJcFAAAAAA==&#10;">
                <v:fill on="t" focussize="0,0"/>
                <v:stroke color="#000000" joinstyle="miter"/>
                <v:imagedata o:title=""/>
                <o:lock v:ext="edit" aspectratio="f"/>
              </v:rect>
            </w:pict>
          </mc:Fallback>
        </mc:AlternateContent>
      </w:r>
      <w:r>
        <w:rPr>
          <w:rFonts w:hint="eastAsia" w:ascii="宋体" w:hAnsi="宋体" w:eastAsia="宋体" w:cs="宋体"/>
          <w:color w:val="auto"/>
          <w:highlight w:val="none"/>
        </w:rPr>
        <mc:AlternateContent>
          <mc:Choice Requires="wps">
            <w:drawing>
              <wp:anchor distT="0" distB="0" distL="114300" distR="114300" simplePos="0" relativeHeight="251661312" behindDoc="1" locked="0" layoutInCell="1" allowOverlap="1">
                <wp:simplePos x="0" y="0"/>
                <wp:positionH relativeFrom="column">
                  <wp:posOffset>2841625</wp:posOffset>
                </wp:positionH>
                <wp:positionV relativeFrom="paragraph">
                  <wp:posOffset>154940</wp:posOffset>
                </wp:positionV>
                <wp:extent cx="2715260" cy="1849120"/>
                <wp:effectExtent l="4445" t="4445" r="10795" b="13335"/>
                <wp:wrapThrough wrapText="bothSides">
                  <wp:wrapPolygon>
                    <wp:start x="-35" y="-52"/>
                    <wp:lineTo x="-35" y="21459"/>
                    <wp:lineTo x="21585" y="21459"/>
                    <wp:lineTo x="21585" y="-52"/>
                    <wp:lineTo x="-35" y="-52"/>
                  </wp:wrapPolygon>
                </wp:wrapThrough>
                <wp:docPr id="2" name="矩形 10"/>
                <wp:cNvGraphicFramePr/>
                <a:graphic xmlns:a="http://schemas.openxmlformats.org/drawingml/2006/main">
                  <a:graphicData uri="http://schemas.microsoft.com/office/word/2010/wordprocessingShape">
                    <wps:wsp>
                      <wps:cNvSpPr/>
                      <wps:spPr>
                        <a:xfrm>
                          <a:off x="0" y="0"/>
                          <a:ext cx="2715260" cy="184912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矩形 10" o:spid="_x0000_s1026" o:spt="1" style="position:absolute;left:0pt;margin-left:223.75pt;margin-top:12.2pt;height:145.6pt;width:213.8pt;mso-wrap-distance-left:9pt;mso-wrap-distance-right:9pt;z-index:-251655168;mso-width-relative:page;mso-height-relative:page;" fillcolor="#FFFFFF" filled="t" stroked="t" coordsize="21600,21600" wrapcoords="-35 -52 -35 21459 21585 21459 21585 -52 -35 -52" o:gfxdata="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JyTWj2gAAAAoBAAAPAAAAAAAAAAEAIAAAACIAAABkcnMvZG93&#10;bnJldi54bWxQSwECFAAUAAAACACHTuJAnjPvVv4BAAAgBAAADgAAAAAAAAABACAAAAApAQAAZHJz&#10;L2Uyb0RvYy54bWxQSwUGAAAAAAYABgBZAQAAmQUAAAAA&#10;">
                <v:fill on="t" focussize="0,0"/>
                <v:stroke color="#000000" joinstyle="miter"/>
                <v:imagedata o:title=""/>
                <o:lock v:ext="edit" aspectratio="f"/>
                <w10:wrap type="through"/>
              </v:rect>
            </w:pict>
          </mc:Fallback>
        </mc:AlternateContent>
      </w:r>
    </w:p>
    <w:p w14:paraId="2A135196">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w:t>
      </w:r>
    </w:p>
    <w:p w14:paraId="0D3B4E10">
      <w:pPr>
        <w:spacing w:line="360" w:lineRule="auto"/>
        <w:rPr>
          <w:rFonts w:hint="eastAsia" w:ascii="宋体" w:hAnsi="宋体" w:eastAsia="宋体" w:cs="宋体"/>
          <w:color w:val="auto"/>
          <w:szCs w:val="21"/>
          <w:highlight w:val="none"/>
        </w:rPr>
      </w:pPr>
    </w:p>
    <w:p w14:paraId="622F6037">
      <w:pPr>
        <w:spacing w:line="360" w:lineRule="auto"/>
        <w:rPr>
          <w:rFonts w:hint="eastAsia" w:ascii="宋体" w:hAnsi="宋体" w:eastAsia="宋体" w:cs="宋体"/>
          <w:color w:val="auto"/>
          <w:szCs w:val="21"/>
          <w:highlight w:val="none"/>
        </w:rPr>
      </w:pPr>
    </w:p>
    <w:p w14:paraId="11EB93A7">
      <w:pPr>
        <w:spacing w:line="360" w:lineRule="auto"/>
        <w:rPr>
          <w:rFonts w:hint="eastAsia" w:ascii="宋体" w:hAnsi="宋体" w:eastAsia="宋体" w:cs="宋体"/>
          <w:color w:val="auto"/>
          <w:szCs w:val="21"/>
          <w:highlight w:val="none"/>
        </w:rPr>
      </w:pPr>
    </w:p>
    <w:p w14:paraId="2C3D4E3A">
      <w:pPr>
        <w:spacing w:line="360" w:lineRule="auto"/>
        <w:rPr>
          <w:rFonts w:hint="eastAsia" w:ascii="宋体" w:hAnsi="宋体" w:eastAsia="宋体" w:cs="宋体"/>
          <w:color w:val="auto"/>
          <w:szCs w:val="21"/>
          <w:highlight w:val="none"/>
        </w:rPr>
      </w:pPr>
    </w:p>
    <w:p w14:paraId="40D4A44D">
      <w:pPr>
        <w:spacing w:line="360" w:lineRule="auto"/>
        <w:rPr>
          <w:rFonts w:hint="eastAsia" w:ascii="宋体" w:hAnsi="宋体" w:eastAsia="宋体" w:cs="宋体"/>
          <w:color w:val="auto"/>
          <w:szCs w:val="21"/>
          <w:highlight w:val="none"/>
        </w:rPr>
      </w:pPr>
    </w:p>
    <w:p w14:paraId="042E2E9F">
      <w:pPr>
        <w:pStyle w:val="4"/>
        <w:spacing w:before="0"/>
        <w:jc w:val="center"/>
        <w:rPr>
          <w:rFonts w:hint="eastAsia" w:ascii="宋体" w:hAnsi="宋体" w:eastAsia="宋体" w:cs="宋体"/>
          <w:color w:val="auto"/>
          <w:szCs w:val="28"/>
          <w:highlight w:val="none"/>
        </w:rPr>
      </w:pPr>
      <w:bookmarkStart w:id="263" w:name="_Toc8168206"/>
      <w:r>
        <w:rPr>
          <w:rFonts w:hint="eastAsia" w:ascii="宋体" w:hAnsi="宋体" w:eastAsia="宋体" w:cs="宋体"/>
          <w:color w:val="auto"/>
          <w:szCs w:val="28"/>
          <w:highlight w:val="none"/>
        </w:rPr>
        <w:br w:type="page"/>
      </w:r>
      <w:bookmarkStart w:id="264" w:name="_Toc24475"/>
      <w:bookmarkStart w:id="265" w:name="_Toc22629"/>
      <w:r>
        <w:rPr>
          <w:rFonts w:hint="eastAsia" w:ascii="宋体" w:hAnsi="宋体" w:eastAsia="宋体" w:cs="宋体"/>
          <w:color w:val="auto"/>
          <w:szCs w:val="28"/>
          <w:highlight w:val="none"/>
        </w:rPr>
        <w:t>（三）法定代表人授权委托书</w:t>
      </w:r>
      <w:bookmarkEnd w:id="263"/>
      <w:bookmarkEnd w:id="264"/>
      <w:bookmarkEnd w:id="265"/>
    </w:p>
    <w:p w14:paraId="050B18A5">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本授权书声明：</w:t>
      </w:r>
      <w:r>
        <w:rPr>
          <w:rFonts w:hint="eastAsia" w:ascii="宋体" w:hAnsi="宋体" w:eastAsia="宋体" w:cs="宋体"/>
          <w:color w:val="auto"/>
          <w:sz w:val="24"/>
          <w:highlight w:val="none"/>
          <w:u w:val="single"/>
        </w:rPr>
        <w:t xml:space="preserve">       （投标人全称）     </w:t>
      </w:r>
      <w:r>
        <w:rPr>
          <w:rFonts w:hint="eastAsia" w:ascii="宋体" w:hAnsi="宋体" w:eastAsia="宋体" w:cs="宋体"/>
          <w:color w:val="auto"/>
          <w:sz w:val="24"/>
          <w:highlight w:val="none"/>
        </w:rPr>
        <w:t>的法定代表人代表本公司授权</w:t>
      </w:r>
      <w:r>
        <w:rPr>
          <w:rFonts w:hint="eastAsia" w:ascii="宋体" w:hAnsi="宋体" w:eastAsia="宋体" w:cs="宋体"/>
          <w:color w:val="auto"/>
          <w:sz w:val="24"/>
          <w:highlight w:val="none"/>
          <w:u w:val="single"/>
        </w:rPr>
        <w:t xml:space="preserve">   （委托代理人姓名）   </w:t>
      </w:r>
      <w:r>
        <w:rPr>
          <w:rFonts w:hint="eastAsia" w:ascii="宋体" w:hAnsi="宋体" w:eastAsia="宋体" w:cs="宋体"/>
          <w:color w:val="auto"/>
          <w:sz w:val="24"/>
          <w:highlight w:val="none"/>
        </w:rPr>
        <w:t>为本公司合法代理人，就贵方组织的有关</w:t>
      </w:r>
      <w:r>
        <w:rPr>
          <w:rFonts w:hint="eastAsia" w:ascii="宋体" w:hAnsi="宋体" w:eastAsia="宋体" w:cs="宋体"/>
          <w:color w:val="auto"/>
          <w:sz w:val="24"/>
          <w:highlight w:val="none"/>
          <w:u w:val="single"/>
        </w:rPr>
        <w:t xml:space="preserve">    （采购项目名称）  </w:t>
      </w:r>
      <w:r>
        <w:rPr>
          <w:rFonts w:hint="eastAsia" w:ascii="宋体" w:hAnsi="宋体" w:eastAsia="宋体" w:cs="宋体"/>
          <w:color w:val="auto"/>
          <w:sz w:val="24"/>
          <w:highlight w:val="none"/>
        </w:rPr>
        <w:t xml:space="preserve">  （</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lang w:val="en-US" w:eastAsia="zh-CN"/>
        </w:rPr>
        <w:t>标段号及名称：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highlight w:val="none"/>
        </w:rPr>
        <w:t>）的招标，以本单位名义投标。代理人在本项目投标过程中所签署的一切文件和处理与之有关的一切事务，我方均予承认。</w:t>
      </w:r>
    </w:p>
    <w:p w14:paraId="53DF7F8C">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代理人无转委托权。</w:t>
      </w:r>
    </w:p>
    <w:p w14:paraId="686F2BDE">
      <w:pPr>
        <w:spacing w:line="360" w:lineRule="auto"/>
        <w:ind w:firstLine="480" w:firstLineChars="200"/>
        <w:rPr>
          <w:rFonts w:hint="eastAsia" w:ascii="宋体" w:hAnsi="宋体" w:eastAsia="宋体" w:cs="宋体"/>
          <w:color w:val="auto"/>
          <w:sz w:val="24"/>
          <w:highlight w:val="none"/>
        </w:rPr>
      </w:pPr>
    </w:p>
    <w:p w14:paraId="71E164D6">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（电子签章）</w:t>
      </w:r>
    </w:p>
    <w:p w14:paraId="0495729E">
      <w:pPr>
        <w:spacing w:line="360" w:lineRule="auto"/>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（电子签章或签名）</w:t>
      </w:r>
    </w:p>
    <w:p w14:paraId="6E6056F8">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身份证号码：</w:t>
      </w:r>
      <w:r>
        <w:rPr>
          <w:rFonts w:hint="eastAsia" w:ascii="宋体" w:hAnsi="宋体" w:eastAsia="宋体" w:cs="宋体"/>
          <w:color w:val="auto"/>
          <w:sz w:val="24"/>
          <w:highlight w:val="none"/>
          <w:u w:val="single"/>
        </w:rPr>
        <w:t xml:space="preserve">                                 </w:t>
      </w:r>
    </w:p>
    <w:p w14:paraId="18E87229">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委托代理人：</w:t>
      </w:r>
      <w:r>
        <w:rPr>
          <w:rFonts w:hint="eastAsia" w:ascii="宋体" w:hAnsi="宋体" w:eastAsia="宋体" w:cs="宋体"/>
          <w:color w:val="auto"/>
          <w:sz w:val="24"/>
          <w:highlight w:val="none"/>
          <w:u w:val="single"/>
        </w:rPr>
        <w:t xml:space="preserve">                                </w:t>
      </w:r>
    </w:p>
    <w:p w14:paraId="6BF11087">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职      务：</w:t>
      </w:r>
      <w:r>
        <w:rPr>
          <w:rFonts w:hint="eastAsia" w:ascii="宋体" w:hAnsi="宋体" w:eastAsia="宋体" w:cs="宋体"/>
          <w:color w:val="auto"/>
          <w:sz w:val="24"/>
          <w:highlight w:val="none"/>
          <w:u w:val="single"/>
        </w:rPr>
        <w:t xml:space="preserve">                                </w:t>
      </w:r>
    </w:p>
    <w:p w14:paraId="363EEFB6">
      <w:pPr>
        <w:spacing w:line="360" w:lineRule="auto"/>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身份证号码：</w:t>
      </w:r>
      <w:r>
        <w:rPr>
          <w:rFonts w:hint="eastAsia" w:ascii="宋体" w:hAnsi="宋体" w:eastAsia="宋体" w:cs="宋体"/>
          <w:color w:val="auto"/>
          <w:sz w:val="24"/>
          <w:highlight w:val="none"/>
          <w:u w:val="single"/>
        </w:rPr>
        <w:t xml:space="preserve">                           </w:t>
      </w:r>
    </w:p>
    <w:p w14:paraId="1DC7EAC8">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年   月    日</w:t>
      </w:r>
    </w:p>
    <w:p w14:paraId="46CDF5C5">
      <w:pPr>
        <w:spacing w:line="360" w:lineRule="auto"/>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附：委托代理人详细地址：</w:t>
      </w:r>
    </w:p>
    <w:p w14:paraId="43E52B69">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电话：</w:t>
      </w:r>
    </w:p>
    <w:p w14:paraId="70EB3F7E">
      <w:pPr>
        <w:rPr>
          <w:rFonts w:hint="eastAsia" w:ascii="宋体" w:hAnsi="宋体" w:eastAsia="宋体" w:cs="宋体"/>
          <w:color w:val="auto"/>
          <w:sz w:val="24"/>
          <w:highlight w:val="none"/>
        </w:rPr>
      </w:pPr>
    </w:p>
    <w:p w14:paraId="1941B4E5">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附：授权委托人身份证扫描件</w:t>
      </w:r>
    </w:p>
    <w:p w14:paraId="28C6A76A">
      <w:pPr>
        <w:spacing w:line="360" w:lineRule="auto"/>
        <w:ind w:firstLine="1680" w:firstLineChars="700"/>
        <w:rPr>
          <w:rFonts w:hint="eastAsia" w:ascii="宋体" w:hAnsi="宋体" w:eastAsia="宋体" w:cs="宋体"/>
          <w:color w:val="auto"/>
          <w:sz w:val="24"/>
          <w:highlight w:val="none"/>
        </w:rPr>
      </w:pPr>
      <w:r>
        <w:rPr>
          <w:rFonts w:hint="eastAsia" w:ascii="宋体" w:hAnsi="宋体" w:eastAsia="宋体" w:cs="宋体"/>
          <w:color w:val="auto"/>
          <w:sz w:val="24"/>
          <w:highlight w:val="none"/>
        </w:rPr>
        <w:t>正面                                   背面</w:t>
      </w:r>
    </w:p>
    <w:p w14:paraId="253A2776">
      <w:pPr>
        <w:spacing w:line="360" w:lineRule="auto"/>
        <w:rPr>
          <w:rFonts w:hint="eastAsia" w:ascii="宋体" w:hAnsi="宋体" w:eastAsia="宋体" w:cs="宋体"/>
          <w:color w:val="auto"/>
          <w:szCs w:val="21"/>
          <w:highlight w:val="none"/>
        </w:rPr>
      </w:pPr>
      <w:r>
        <w:rPr>
          <w:rFonts w:hint="eastAsia" w:ascii="宋体" w:hAnsi="宋体" w:eastAsia="宋体" w:cs="宋体"/>
          <w:color w:val="auto"/>
          <w:highlight w:val="none"/>
        </w:rPr>
        <mc:AlternateContent>
          <mc:Choice Requires="wps">
            <w:drawing>
              <wp:anchor distT="0" distB="0" distL="114300" distR="114300" simplePos="0" relativeHeight="251662336" behindDoc="0" locked="0" layoutInCell="1" allowOverlap="1">
                <wp:simplePos x="0" y="0"/>
                <wp:positionH relativeFrom="column">
                  <wp:posOffset>34925</wp:posOffset>
                </wp:positionH>
                <wp:positionV relativeFrom="paragraph">
                  <wp:posOffset>161925</wp:posOffset>
                </wp:positionV>
                <wp:extent cx="2707640" cy="1842770"/>
                <wp:effectExtent l="5080" t="5080" r="5080" b="6350"/>
                <wp:wrapNone/>
                <wp:docPr id="3" name="矩形 11"/>
                <wp:cNvGraphicFramePr/>
                <a:graphic xmlns:a="http://schemas.openxmlformats.org/drawingml/2006/main">
                  <a:graphicData uri="http://schemas.microsoft.com/office/word/2010/wordprocessingShape">
                    <wps:wsp>
                      <wps:cNvSpPr/>
                      <wps:spPr>
                        <a:xfrm>
                          <a:off x="0" y="0"/>
                          <a:ext cx="2707640" cy="184277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矩形 11" o:spid="_x0000_s1026" o:spt="1" style="position:absolute;left:0pt;margin-left:2.75pt;margin-top:12.75pt;height:145.1pt;width:213.2pt;z-index:251662336;mso-width-relative:page;mso-height-relative:page;" fillcolor="#FFFFFF" filled="t" stroked="t" coordsize="21600,21600" o:gfxdata="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B5VqndcAAAAIAQAADwAAAAAAAAABACAAAAAiAAAAZHJzL2Rvd25y&#10;ZXYueG1sUEsBAhQAFAAAAAgAh07iQNLyi7P/AQAAIAQAAA4AAAAAAAAAAQAgAAAAJgEAAGRycy9l&#10;Mm9Eb2MueG1sUEsFBgAAAAAGAAYAWQEAAJcFAAAAAA==&#10;">
                <v:fill on="t" focussize="0,0"/>
                <v:stroke color="#000000" joinstyle="miter"/>
                <v:imagedata o:title=""/>
                <o:lock v:ext="edit" aspectratio="f"/>
              </v:rect>
            </w:pict>
          </mc:Fallback>
        </mc:AlternateContent>
      </w:r>
      <w:r>
        <w:rPr>
          <w:rFonts w:hint="eastAsia" w:ascii="宋体" w:hAnsi="宋体" w:eastAsia="宋体" w:cs="宋体"/>
          <w:color w:val="auto"/>
          <w:highlight w:val="none"/>
        </w:rPr>
        <mc:AlternateContent>
          <mc:Choice Requires="wps">
            <w:drawing>
              <wp:anchor distT="0" distB="0" distL="114300" distR="114300" simplePos="0" relativeHeight="251663360" behindDoc="1" locked="0" layoutInCell="1" allowOverlap="1">
                <wp:simplePos x="0" y="0"/>
                <wp:positionH relativeFrom="column">
                  <wp:posOffset>2841625</wp:posOffset>
                </wp:positionH>
                <wp:positionV relativeFrom="paragraph">
                  <wp:posOffset>154940</wp:posOffset>
                </wp:positionV>
                <wp:extent cx="2715260" cy="1849120"/>
                <wp:effectExtent l="4445" t="4445" r="10795" b="13335"/>
                <wp:wrapThrough wrapText="bothSides">
                  <wp:wrapPolygon>
                    <wp:start x="-35" y="-52"/>
                    <wp:lineTo x="-35" y="21459"/>
                    <wp:lineTo x="21585" y="21459"/>
                    <wp:lineTo x="21585" y="-52"/>
                    <wp:lineTo x="-35" y="-52"/>
                  </wp:wrapPolygon>
                </wp:wrapThrough>
                <wp:docPr id="4" name="矩形 12"/>
                <wp:cNvGraphicFramePr/>
                <a:graphic xmlns:a="http://schemas.openxmlformats.org/drawingml/2006/main">
                  <a:graphicData uri="http://schemas.microsoft.com/office/word/2010/wordprocessingShape">
                    <wps:wsp>
                      <wps:cNvSpPr/>
                      <wps:spPr>
                        <a:xfrm>
                          <a:off x="0" y="0"/>
                          <a:ext cx="2715260" cy="184912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矩形 12" o:spid="_x0000_s1026" o:spt="1" style="position:absolute;left:0pt;margin-left:223.75pt;margin-top:12.2pt;height:145.6pt;width:213.8pt;mso-wrap-distance-left:9pt;mso-wrap-distance-right:9pt;z-index:-251653120;mso-width-relative:page;mso-height-relative:page;" fillcolor="#FFFFFF" filled="t" stroked="t" coordsize="21600,21600" wrapcoords="-35 -52 -35 21459 21585 21459 21585 -52 -35 -52" o:gfxdata="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MnJNaPaAAAACgEAAA8AAAAAAAAAAQAgAAAAIgAAAGRycy9k&#10;b3ducmV2LnhtbFBLAQIUABQAAAAIAIdO4kCtCLEHAAIAACAEAAAOAAAAAAAAAAEAIAAAACkBAABk&#10;cnMvZTJvRG9jLnhtbFBLBQYAAAAABgAGAFkBAACbBQAAAAA=&#10;">
                <v:fill on="t" focussize="0,0"/>
                <v:stroke color="#000000" joinstyle="miter"/>
                <v:imagedata o:title=""/>
                <o:lock v:ext="edit" aspectratio="f"/>
                <w10:wrap type="through"/>
              </v:rect>
            </w:pict>
          </mc:Fallback>
        </mc:AlternateContent>
      </w:r>
    </w:p>
    <w:p w14:paraId="2FD2CC01">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w:t>
      </w:r>
    </w:p>
    <w:p w14:paraId="12B03956">
      <w:pPr>
        <w:spacing w:line="360" w:lineRule="auto"/>
        <w:rPr>
          <w:rFonts w:hint="eastAsia" w:ascii="宋体" w:hAnsi="宋体" w:eastAsia="宋体" w:cs="宋体"/>
          <w:color w:val="auto"/>
          <w:szCs w:val="21"/>
          <w:highlight w:val="none"/>
        </w:rPr>
      </w:pPr>
    </w:p>
    <w:p w14:paraId="70A71F68">
      <w:pPr>
        <w:spacing w:line="360" w:lineRule="auto"/>
        <w:rPr>
          <w:rFonts w:hint="eastAsia" w:ascii="宋体" w:hAnsi="宋体" w:eastAsia="宋体" w:cs="宋体"/>
          <w:color w:val="auto"/>
          <w:szCs w:val="21"/>
          <w:highlight w:val="none"/>
        </w:rPr>
      </w:pPr>
    </w:p>
    <w:p w14:paraId="3456CAC3">
      <w:pPr>
        <w:spacing w:line="360" w:lineRule="auto"/>
        <w:rPr>
          <w:rFonts w:hint="eastAsia" w:ascii="宋体" w:hAnsi="宋体" w:eastAsia="宋体" w:cs="宋体"/>
          <w:color w:val="auto"/>
          <w:szCs w:val="21"/>
          <w:highlight w:val="none"/>
        </w:rPr>
      </w:pPr>
    </w:p>
    <w:p w14:paraId="12F9E385">
      <w:pPr>
        <w:spacing w:line="360" w:lineRule="auto"/>
        <w:rPr>
          <w:rFonts w:hint="eastAsia" w:ascii="宋体" w:hAnsi="宋体" w:eastAsia="宋体" w:cs="宋体"/>
          <w:color w:val="auto"/>
          <w:szCs w:val="21"/>
          <w:highlight w:val="none"/>
        </w:rPr>
      </w:pPr>
    </w:p>
    <w:p w14:paraId="14CC96C1">
      <w:pPr>
        <w:spacing w:line="360" w:lineRule="auto"/>
        <w:rPr>
          <w:rFonts w:hint="eastAsia" w:ascii="宋体" w:hAnsi="宋体" w:eastAsia="宋体" w:cs="宋体"/>
          <w:color w:val="auto"/>
          <w:szCs w:val="21"/>
          <w:highlight w:val="none"/>
        </w:rPr>
      </w:pPr>
    </w:p>
    <w:p w14:paraId="14E626DA">
      <w:pPr>
        <w:pStyle w:val="15"/>
        <w:rPr>
          <w:rFonts w:hint="eastAsia" w:ascii="宋体" w:hAnsi="宋体" w:eastAsia="宋体" w:cs="宋体"/>
          <w:color w:val="auto"/>
          <w:highlight w:val="none"/>
        </w:rPr>
        <w:sectPr>
          <w:headerReference r:id="rId8" w:type="default"/>
          <w:footerReference r:id="rId9" w:type="default"/>
          <w:pgSz w:w="11906" w:h="16838"/>
          <w:pgMar w:top="1247" w:right="1247" w:bottom="1247" w:left="1247" w:header="964" w:footer="992" w:gutter="0"/>
          <w:pgNumType w:fmt="decimal"/>
          <w:cols w:space="0" w:num="1"/>
          <w:docGrid w:type="lines" w:linePitch="319" w:charSpace="0"/>
        </w:sectPr>
      </w:pPr>
    </w:p>
    <w:p w14:paraId="40E6C727">
      <w:pPr>
        <w:pStyle w:val="4"/>
        <w:spacing w:before="0"/>
        <w:jc w:val="center"/>
        <w:rPr>
          <w:rFonts w:hint="eastAsia" w:ascii="宋体" w:hAnsi="宋体" w:eastAsia="宋体" w:cs="宋体"/>
          <w:color w:val="auto"/>
          <w:highlight w:val="none"/>
        </w:rPr>
      </w:pPr>
      <w:bookmarkStart w:id="266" w:name="_Toc78603131"/>
      <w:bookmarkStart w:id="267" w:name="_Toc403381115"/>
      <w:bookmarkStart w:id="268" w:name="_Toc28914"/>
      <w:bookmarkStart w:id="269" w:name="_Toc5671"/>
      <w:bookmarkStart w:id="270" w:name="_Toc2849"/>
      <w:bookmarkStart w:id="271" w:name="_Toc4391"/>
      <w:bookmarkStart w:id="272" w:name="_Toc8761"/>
      <w:bookmarkStart w:id="273" w:name="_Toc24385"/>
      <w:bookmarkStart w:id="274" w:name="_Toc491166395"/>
      <w:bookmarkStart w:id="275" w:name="_Toc392492193"/>
      <w:bookmarkStart w:id="276" w:name="_Toc381109076"/>
      <w:bookmarkStart w:id="277" w:name="_Toc392492454"/>
      <w:bookmarkStart w:id="278" w:name="_Toc17336"/>
      <w:bookmarkStart w:id="279" w:name="_Toc213141100"/>
      <w:r>
        <w:rPr>
          <w:rFonts w:hint="eastAsia" w:ascii="宋体" w:hAnsi="宋体" w:eastAsia="宋体" w:cs="宋体"/>
          <w:color w:val="auto"/>
          <w:szCs w:val="28"/>
          <w:highlight w:val="none"/>
        </w:rPr>
        <w:t>（四）</w:t>
      </w:r>
      <w:bookmarkEnd w:id="266"/>
      <w:bookmarkEnd w:id="267"/>
      <w:r>
        <w:rPr>
          <w:rFonts w:hint="eastAsia" w:ascii="宋体" w:hAnsi="宋体" w:eastAsia="宋体" w:cs="宋体"/>
          <w:color w:val="auto"/>
          <w:szCs w:val="28"/>
          <w:highlight w:val="none"/>
        </w:rPr>
        <w:t>投标保证金缴纳凭证</w:t>
      </w:r>
      <w:bookmarkEnd w:id="268"/>
      <w:bookmarkEnd w:id="269"/>
      <w:bookmarkEnd w:id="270"/>
      <w:bookmarkEnd w:id="271"/>
      <w:bookmarkEnd w:id="272"/>
    </w:p>
    <w:p w14:paraId="1210B636">
      <w:pPr>
        <w:jc w:val="center"/>
        <w:rPr>
          <w:rFonts w:hint="eastAsia" w:ascii="宋体" w:hAnsi="宋体" w:eastAsia="宋体" w:cs="宋体"/>
          <w:color w:val="auto"/>
          <w:szCs w:val="28"/>
          <w:highlight w:val="none"/>
        </w:rPr>
      </w:pPr>
      <w:r>
        <w:rPr>
          <w:rFonts w:hint="eastAsia" w:ascii="宋体" w:hAnsi="宋体" w:eastAsia="宋体" w:cs="宋体"/>
          <w:color w:val="auto"/>
          <w:sz w:val="24"/>
          <w:highlight w:val="none"/>
        </w:rPr>
        <w:t>开户证明材料及投标保证金缴纳凭证复印件</w:t>
      </w:r>
      <w:r>
        <w:rPr>
          <w:rFonts w:hint="eastAsia" w:ascii="宋体" w:hAnsi="宋体" w:eastAsia="宋体" w:cs="宋体"/>
          <w:color w:val="auto"/>
          <w:szCs w:val="28"/>
          <w:highlight w:val="none"/>
        </w:rPr>
        <w:br w:type="page"/>
      </w:r>
    </w:p>
    <w:p w14:paraId="55C720F1">
      <w:pPr>
        <w:pStyle w:val="4"/>
        <w:spacing w:before="0"/>
        <w:jc w:val="center"/>
        <w:rPr>
          <w:rFonts w:hint="eastAsia" w:ascii="宋体" w:hAnsi="宋体" w:eastAsia="宋体" w:cs="宋体"/>
          <w:color w:val="auto"/>
          <w:szCs w:val="28"/>
          <w:highlight w:val="none"/>
        </w:rPr>
      </w:pPr>
      <w:r>
        <w:rPr>
          <w:rFonts w:hint="eastAsia" w:ascii="宋体" w:hAnsi="宋体" w:eastAsia="宋体" w:cs="宋体"/>
          <w:color w:val="auto"/>
          <w:szCs w:val="28"/>
          <w:highlight w:val="none"/>
        </w:rPr>
        <w:t>（五）商务条款偏离表</w:t>
      </w:r>
      <w:bookmarkEnd w:id="273"/>
      <w:bookmarkEnd w:id="274"/>
      <w:bookmarkEnd w:id="275"/>
      <w:bookmarkEnd w:id="276"/>
      <w:bookmarkEnd w:id="277"/>
      <w:bookmarkEnd w:id="278"/>
      <w:bookmarkEnd w:id="279"/>
    </w:p>
    <w:p w14:paraId="67894861">
      <w:pPr>
        <w:pStyle w:val="21"/>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投标人须逐条对应招标文件中要求的商务条款，认真填写该表。</w:t>
      </w:r>
    </w:p>
    <w:p w14:paraId="59BCEDA3">
      <w:pPr>
        <w:pStyle w:val="21"/>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商务条款是指：招标文件第</w:t>
      </w:r>
      <w:r>
        <w:rPr>
          <w:rFonts w:hint="eastAsia" w:ascii="宋体" w:hAnsi="宋体" w:eastAsia="宋体" w:cs="宋体"/>
          <w:color w:val="auto"/>
          <w:sz w:val="24"/>
          <w:szCs w:val="24"/>
          <w:highlight w:val="none"/>
          <w:lang w:val="en-US" w:eastAsia="zh-CN"/>
        </w:rPr>
        <w:t>四</w:t>
      </w:r>
      <w:r>
        <w:rPr>
          <w:rFonts w:hint="eastAsia" w:ascii="宋体" w:hAnsi="宋体" w:eastAsia="宋体" w:cs="宋体"/>
          <w:color w:val="auto"/>
          <w:sz w:val="24"/>
          <w:szCs w:val="24"/>
          <w:highlight w:val="none"/>
        </w:rPr>
        <w:t>章《采购需求》及招标文件中要求的合同履行期限、</w:t>
      </w:r>
      <w:r>
        <w:rPr>
          <w:rFonts w:hint="eastAsia" w:ascii="宋体" w:hAnsi="宋体" w:eastAsia="宋体" w:cs="宋体"/>
          <w:color w:val="auto"/>
          <w:sz w:val="24"/>
          <w:szCs w:val="24"/>
          <w:highlight w:val="none"/>
          <w:lang w:val="en-US" w:eastAsia="zh-CN"/>
        </w:rPr>
        <w:t>质量标准、</w:t>
      </w:r>
      <w:r>
        <w:rPr>
          <w:rFonts w:hint="eastAsia" w:ascii="宋体" w:hAnsi="宋体" w:eastAsia="宋体" w:cs="宋体"/>
          <w:color w:val="auto"/>
          <w:sz w:val="24"/>
          <w:szCs w:val="24"/>
          <w:highlight w:val="none"/>
        </w:rPr>
        <w:t>项目实施地点等要求。</w:t>
      </w:r>
    </w:p>
    <w:p w14:paraId="39C35EDB">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A、□我公司已详细阅读招标文件中各项商务要求，所有商务要求均无偏离，中标后我公司将严格遵照执行。</w:t>
      </w:r>
    </w:p>
    <w:p w14:paraId="2828E08A">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B、□我公司已详细阅读招标文件中各项商务要求，除下述条款有偏离外，其余条款我公司均予以认可，中标后将严格遵照执行。</w:t>
      </w:r>
    </w:p>
    <w:p w14:paraId="2E9D500F">
      <w:pPr>
        <w:pStyle w:val="21"/>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项目名称：</w:t>
      </w:r>
      <w:r>
        <w:rPr>
          <w:rFonts w:hint="eastAsia" w:ascii="宋体" w:hAnsi="宋体" w:eastAsia="宋体" w:cs="宋体"/>
          <w:b/>
          <w:color w:val="auto"/>
          <w:sz w:val="24"/>
          <w:szCs w:val="24"/>
          <w:highlight w:val="none"/>
          <w:u w:val="single"/>
        </w:rPr>
        <w:t xml:space="preserve">                 </w:t>
      </w:r>
      <w:r>
        <w:rPr>
          <w:rFonts w:hint="eastAsia" w:ascii="宋体" w:hAnsi="宋体" w:eastAsia="宋体" w:cs="宋体"/>
          <w:b/>
          <w:color w:val="auto"/>
          <w:sz w:val="24"/>
          <w:szCs w:val="24"/>
          <w:highlight w:val="none"/>
        </w:rPr>
        <w:t xml:space="preserve">           </w:t>
      </w:r>
    </w:p>
    <w:p w14:paraId="60A898D8">
      <w:pPr>
        <w:pStyle w:val="21"/>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rPr>
        <w:t>项目编号：</w:t>
      </w:r>
      <w:r>
        <w:rPr>
          <w:rFonts w:hint="eastAsia" w:ascii="宋体" w:hAnsi="宋体" w:eastAsia="宋体" w:cs="宋体"/>
          <w:b/>
          <w:color w:val="auto"/>
          <w:sz w:val="24"/>
          <w:szCs w:val="24"/>
          <w:highlight w:val="none"/>
          <w:u w:val="single"/>
        </w:rPr>
        <w:t xml:space="preserve">                 </w:t>
      </w:r>
      <w:r>
        <w:rPr>
          <w:rFonts w:hint="eastAsia" w:ascii="宋体" w:hAnsi="宋体" w:eastAsia="宋体" w:cs="宋体"/>
          <w:b/>
          <w:color w:val="auto"/>
          <w:sz w:val="24"/>
          <w:szCs w:val="24"/>
          <w:highlight w:val="none"/>
        </w:rPr>
        <w:t xml:space="preserve">          </w:t>
      </w:r>
      <w:r>
        <w:rPr>
          <w:rFonts w:hint="eastAsia" w:ascii="宋体" w:hAnsi="宋体" w:eastAsia="宋体" w:cs="宋体"/>
          <w:b/>
          <w:color w:val="auto"/>
          <w:sz w:val="24"/>
          <w:highlight w:val="none"/>
          <w:lang w:val="en-US" w:eastAsia="zh-CN"/>
        </w:rPr>
        <w:t>标段号及名称</w:t>
      </w:r>
      <w:r>
        <w:rPr>
          <w:rFonts w:hint="eastAsia" w:ascii="宋体" w:hAnsi="宋体" w:eastAsia="宋体" w:cs="宋体"/>
          <w:b/>
          <w:color w:val="auto"/>
          <w:sz w:val="24"/>
          <w:highlight w:val="none"/>
        </w:rPr>
        <w:t>：</w:t>
      </w:r>
      <w:r>
        <w:rPr>
          <w:rFonts w:hint="eastAsia" w:ascii="宋体" w:hAnsi="宋体" w:eastAsia="宋体" w:cs="宋体"/>
          <w:b/>
          <w:color w:val="auto"/>
          <w:sz w:val="24"/>
          <w:highlight w:val="none"/>
          <w:u w:val="single"/>
        </w:rPr>
        <w:t xml:space="preserve">               </w:t>
      </w:r>
      <w:r>
        <w:rPr>
          <w:rFonts w:hint="eastAsia" w:ascii="宋体" w:hAnsi="宋体" w:eastAsia="宋体" w:cs="宋体"/>
          <w:bCs/>
          <w:color w:val="auto"/>
          <w:sz w:val="24"/>
          <w:highlight w:val="none"/>
          <w:u w:val="single"/>
        </w:rPr>
        <w:t xml:space="preserve">    </w:t>
      </w:r>
      <w:r>
        <w:rPr>
          <w:rFonts w:hint="eastAsia" w:ascii="宋体" w:hAnsi="宋体" w:eastAsia="宋体" w:cs="宋体"/>
          <w:b/>
          <w:color w:val="auto"/>
          <w:sz w:val="24"/>
          <w:szCs w:val="24"/>
          <w:highlight w:val="none"/>
        </w:rPr>
        <w:t xml:space="preserve">   </w:t>
      </w:r>
      <w:r>
        <w:rPr>
          <w:rFonts w:hint="eastAsia" w:ascii="宋体" w:hAnsi="宋体" w:eastAsia="宋体" w:cs="宋体"/>
          <w:bCs/>
          <w:color w:val="auto"/>
          <w:sz w:val="24"/>
          <w:szCs w:val="24"/>
          <w:highlight w:val="none"/>
        </w:rPr>
        <w:t xml:space="preserve"> </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9"/>
        <w:gridCol w:w="1620"/>
        <w:gridCol w:w="2600"/>
        <w:gridCol w:w="2595"/>
        <w:gridCol w:w="2006"/>
      </w:tblGrid>
      <w:tr w14:paraId="1B86E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49" w:type="dxa"/>
            <w:tcBorders>
              <w:top w:val="single" w:color="auto" w:sz="4" w:space="0"/>
              <w:left w:val="single" w:color="auto" w:sz="4" w:space="0"/>
              <w:bottom w:val="single" w:color="auto" w:sz="4" w:space="0"/>
              <w:right w:val="single" w:color="auto" w:sz="4" w:space="0"/>
            </w:tcBorders>
            <w:vAlign w:val="center"/>
          </w:tcPr>
          <w:p w14:paraId="30BC1365">
            <w:pPr>
              <w:pStyle w:val="21"/>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序号</w:t>
            </w:r>
          </w:p>
        </w:tc>
        <w:tc>
          <w:tcPr>
            <w:tcW w:w="1620" w:type="dxa"/>
            <w:tcBorders>
              <w:top w:val="single" w:color="auto" w:sz="4" w:space="0"/>
              <w:left w:val="single" w:color="auto" w:sz="4" w:space="0"/>
              <w:bottom w:val="single" w:color="auto" w:sz="4" w:space="0"/>
              <w:right w:val="single" w:color="auto" w:sz="4" w:space="0"/>
            </w:tcBorders>
            <w:vAlign w:val="center"/>
          </w:tcPr>
          <w:p w14:paraId="0A046593">
            <w:pPr>
              <w:pStyle w:val="21"/>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招标文件页码及条目号</w:t>
            </w:r>
          </w:p>
        </w:tc>
        <w:tc>
          <w:tcPr>
            <w:tcW w:w="2600" w:type="dxa"/>
            <w:tcBorders>
              <w:top w:val="single" w:color="auto" w:sz="4" w:space="0"/>
              <w:left w:val="single" w:color="auto" w:sz="4" w:space="0"/>
              <w:bottom w:val="single" w:color="auto" w:sz="4" w:space="0"/>
              <w:right w:val="single" w:color="auto" w:sz="4" w:space="0"/>
            </w:tcBorders>
            <w:vAlign w:val="center"/>
          </w:tcPr>
          <w:p w14:paraId="0C91658F">
            <w:pPr>
              <w:pStyle w:val="21"/>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招标文件的商务条款</w:t>
            </w:r>
          </w:p>
        </w:tc>
        <w:tc>
          <w:tcPr>
            <w:tcW w:w="2595" w:type="dxa"/>
            <w:tcBorders>
              <w:top w:val="single" w:color="auto" w:sz="4" w:space="0"/>
              <w:left w:val="single" w:color="auto" w:sz="4" w:space="0"/>
              <w:bottom w:val="single" w:color="auto" w:sz="4" w:space="0"/>
              <w:right w:val="single" w:color="auto" w:sz="4" w:space="0"/>
            </w:tcBorders>
            <w:vAlign w:val="center"/>
          </w:tcPr>
          <w:p w14:paraId="598BC49E">
            <w:pPr>
              <w:pStyle w:val="21"/>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投标文件的商务条款</w:t>
            </w:r>
          </w:p>
        </w:tc>
        <w:tc>
          <w:tcPr>
            <w:tcW w:w="2006" w:type="dxa"/>
            <w:tcBorders>
              <w:top w:val="single" w:color="auto" w:sz="4" w:space="0"/>
              <w:left w:val="single" w:color="auto" w:sz="4" w:space="0"/>
              <w:bottom w:val="single" w:color="auto" w:sz="4" w:space="0"/>
              <w:right w:val="single" w:color="auto" w:sz="4" w:space="0"/>
            </w:tcBorders>
            <w:vAlign w:val="center"/>
          </w:tcPr>
          <w:p w14:paraId="45A7D489">
            <w:pPr>
              <w:pStyle w:val="21"/>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响应情况说明</w:t>
            </w:r>
          </w:p>
        </w:tc>
      </w:tr>
      <w:tr w14:paraId="07297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tcBorders>
              <w:top w:val="single" w:color="auto" w:sz="4" w:space="0"/>
              <w:left w:val="single" w:color="auto" w:sz="4" w:space="0"/>
              <w:bottom w:val="single" w:color="auto" w:sz="4" w:space="0"/>
              <w:right w:val="single" w:color="auto" w:sz="4" w:space="0"/>
            </w:tcBorders>
          </w:tcPr>
          <w:p w14:paraId="4D882FF1">
            <w:pPr>
              <w:pStyle w:val="21"/>
              <w:rPr>
                <w:rFonts w:hint="eastAsia" w:ascii="宋体" w:hAnsi="宋体" w:eastAsia="宋体" w:cs="宋体"/>
                <w:color w:val="auto"/>
                <w:sz w:val="24"/>
                <w:szCs w:val="24"/>
                <w:highlight w:val="none"/>
              </w:rPr>
            </w:pPr>
          </w:p>
        </w:tc>
        <w:tc>
          <w:tcPr>
            <w:tcW w:w="1620" w:type="dxa"/>
            <w:tcBorders>
              <w:top w:val="single" w:color="auto" w:sz="4" w:space="0"/>
              <w:left w:val="single" w:color="auto" w:sz="4" w:space="0"/>
              <w:bottom w:val="single" w:color="auto" w:sz="4" w:space="0"/>
              <w:right w:val="single" w:color="auto" w:sz="4" w:space="0"/>
            </w:tcBorders>
          </w:tcPr>
          <w:p w14:paraId="034383F3">
            <w:pPr>
              <w:pStyle w:val="21"/>
              <w:rPr>
                <w:rFonts w:hint="eastAsia" w:ascii="宋体" w:hAnsi="宋体" w:eastAsia="宋体" w:cs="宋体"/>
                <w:color w:val="auto"/>
                <w:sz w:val="24"/>
                <w:szCs w:val="24"/>
                <w:highlight w:val="none"/>
              </w:rPr>
            </w:pPr>
          </w:p>
        </w:tc>
        <w:tc>
          <w:tcPr>
            <w:tcW w:w="2600" w:type="dxa"/>
            <w:tcBorders>
              <w:top w:val="single" w:color="auto" w:sz="4" w:space="0"/>
              <w:left w:val="single" w:color="auto" w:sz="4" w:space="0"/>
              <w:bottom w:val="single" w:color="auto" w:sz="4" w:space="0"/>
              <w:right w:val="single" w:color="auto" w:sz="4" w:space="0"/>
            </w:tcBorders>
          </w:tcPr>
          <w:p w14:paraId="4D33E062">
            <w:pPr>
              <w:pStyle w:val="21"/>
              <w:rPr>
                <w:rFonts w:hint="eastAsia" w:ascii="宋体" w:hAnsi="宋体" w:eastAsia="宋体" w:cs="宋体"/>
                <w:color w:val="auto"/>
                <w:sz w:val="24"/>
                <w:szCs w:val="24"/>
                <w:highlight w:val="none"/>
              </w:rPr>
            </w:pPr>
          </w:p>
        </w:tc>
        <w:tc>
          <w:tcPr>
            <w:tcW w:w="2595" w:type="dxa"/>
            <w:tcBorders>
              <w:top w:val="single" w:color="auto" w:sz="4" w:space="0"/>
              <w:left w:val="single" w:color="auto" w:sz="4" w:space="0"/>
              <w:bottom w:val="single" w:color="auto" w:sz="4" w:space="0"/>
              <w:right w:val="single" w:color="auto" w:sz="4" w:space="0"/>
            </w:tcBorders>
          </w:tcPr>
          <w:p w14:paraId="3FA8EF08">
            <w:pPr>
              <w:pStyle w:val="21"/>
              <w:rPr>
                <w:rFonts w:hint="eastAsia" w:ascii="宋体" w:hAnsi="宋体" w:eastAsia="宋体" w:cs="宋体"/>
                <w:color w:val="auto"/>
                <w:sz w:val="24"/>
                <w:szCs w:val="24"/>
                <w:highlight w:val="none"/>
              </w:rPr>
            </w:pPr>
          </w:p>
        </w:tc>
        <w:tc>
          <w:tcPr>
            <w:tcW w:w="2006" w:type="dxa"/>
            <w:tcBorders>
              <w:top w:val="single" w:color="auto" w:sz="4" w:space="0"/>
              <w:left w:val="single" w:color="auto" w:sz="4" w:space="0"/>
              <w:bottom w:val="single" w:color="auto" w:sz="4" w:space="0"/>
              <w:right w:val="single" w:color="auto" w:sz="4" w:space="0"/>
            </w:tcBorders>
          </w:tcPr>
          <w:p w14:paraId="0F51518A">
            <w:pPr>
              <w:pStyle w:val="21"/>
              <w:rPr>
                <w:rFonts w:hint="eastAsia" w:ascii="宋体" w:hAnsi="宋体" w:eastAsia="宋体" w:cs="宋体"/>
                <w:color w:val="auto"/>
                <w:sz w:val="24"/>
                <w:szCs w:val="24"/>
                <w:highlight w:val="none"/>
              </w:rPr>
            </w:pPr>
          </w:p>
        </w:tc>
      </w:tr>
      <w:tr w14:paraId="5DFB5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tcBorders>
              <w:top w:val="single" w:color="auto" w:sz="4" w:space="0"/>
              <w:left w:val="single" w:color="auto" w:sz="4" w:space="0"/>
              <w:bottom w:val="single" w:color="auto" w:sz="4" w:space="0"/>
              <w:right w:val="single" w:color="auto" w:sz="4" w:space="0"/>
            </w:tcBorders>
          </w:tcPr>
          <w:p w14:paraId="28C4787E">
            <w:pPr>
              <w:pStyle w:val="21"/>
              <w:rPr>
                <w:rFonts w:hint="eastAsia" w:ascii="宋体" w:hAnsi="宋体" w:eastAsia="宋体" w:cs="宋体"/>
                <w:color w:val="auto"/>
                <w:sz w:val="24"/>
                <w:szCs w:val="24"/>
                <w:highlight w:val="none"/>
              </w:rPr>
            </w:pPr>
          </w:p>
        </w:tc>
        <w:tc>
          <w:tcPr>
            <w:tcW w:w="1620" w:type="dxa"/>
            <w:tcBorders>
              <w:top w:val="single" w:color="auto" w:sz="4" w:space="0"/>
              <w:left w:val="single" w:color="auto" w:sz="4" w:space="0"/>
              <w:bottom w:val="single" w:color="auto" w:sz="4" w:space="0"/>
              <w:right w:val="single" w:color="auto" w:sz="4" w:space="0"/>
            </w:tcBorders>
          </w:tcPr>
          <w:p w14:paraId="59F57940">
            <w:pPr>
              <w:pStyle w:val="21"/>
              <w:rPr>
                <w:rFonts w:hint="eastAsia" w:ascii="宋体" w:hAnsi="宋体" w:eastAsia="宋体" w:cs="宋体"/>
                <w:color w:val="auto"/>
                <w:sz w:val="24"/>
                <w:szCs w:val="24"/>
                <w:highlight w:val="none"/>
              </w:rPr>
            </w:pPr>
          </w:p>
        </w:tc>
        <w:tc>
          <w:tcPr>
            <w:tcW w:w="2600" w:type="dxa"/>
            <w:tcBorders>
              <w:top w:val="single" w:color="auto" w:sz="4" w:space="0"/>
              <w:left w:val="single" w:color="auto" w:sz="4" w:space="0"/>
              <w:bottom w:val="single" w:color="auto" w:sz="4" w:space="0"/>
              <w:right w:val="single" w:color="auto" w:sz="4" w:space="0"/>
            </w:tcBorders>
          </w:tcPr>
          <w:p w14:paraId="22307E90">
            <w:pPr>
              <w:pStyle w:val="21"/>
              <w:rPr>
                <w:rFonts w:hint="eastAsia" w:ascii="宋体" w:hAnsi="宋体" w:eastAsia="宋体" w:cs="宋体"/>
                <w:color w:val="auto"/>
                <w:sz w:val="24"/>
                <w:szCs w:val="24"/>
                <w:highlight w:val="none"/>
              </w:rPr>
            </w:pPr>
          </w:p>
        </w:tc>
        <w:tc>
          <w:tcPr>
            <w:tcW w:w="2595" w:type="dxa"/>
            <w:tcBorders>
              <w:top w:val="single" w:color="auto" w:sz="4" w:space="0"/>
              <w:left w:val="single" w:color="auto" w:sz="4" w:space="0"/>
              <w:bottom w:val="single" w:color="auto" w:sz="4" w:space="0"/>
              <w:right w:val="single" w:color="auto" w:sz="4" w:space="0"/>
            </w:tcBorders>
          </w:tcPr>
          <w:p w14:paraId="5A352EEC">
            <w:pPr>
              <w:pStyle w:val="21"/>
              <w:rPr>
                <w:rFonts w:hint="eastAsia" w:ascii="宋体" w:hAnsi="宋体" w:eastAsia="宋体" w:cs="宋体"/>
                <w:color w:val="auto"/>
                <w:sz w:val="24"/>
                <w:szCs w:val="24"/>
                <w:highlight w:val="none"/>
              </w:rPr>
            </w:pPr>
          </w:p>
        </w:tc>
        <w:tc>
          <w:tcPr>
            <w:tcW w:w="2006" w:type="dxa"/>
            <w:tcBorders>
              <w:top w:val="single" w:color="auto" w:sz="4" w:space="0"/>
              <w:left w:val="single" w:color="auto" w:sz="4" w:space="0"/>
              <w:bottom w:val="single" w:color="auto" w:sz="4" w:space="0"/>
              <w:right w:val="single" w:color="auto" w:sz="4" w:space="0"/>
            </w:tcBorders>
          </w:tcPr>
          <w:p w14:paraId="08F4807E">
            <w:pPr>
              <w:pStyle w:val="21"/>
              <w:rPr>
                <w:rFonts w:hint="eastAsia" w:ascii="宋体" w:hAnsi="宋体" w:eastAsia="宋体" w:cs="宋体"/>
                <w:color w:val="auto"/>
                <w:sz w:val="24"/>
                <w:szCs w:val="24"/>
                <w:highlight w:val="none"/>
              </w:rPr>
            </w:pPr>
          </w:p>
        </w:tc>
      </w:tr>
      <w:tr w14:paraId="4DF46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tcBorders>
              <w:top w:val="single" w:color="auto" w:sz="4" w:space="0"/>
              <w:left w:val="single" w:color="auto" w:sz="4" w:space="0"/>
              <w:bottom w:val="single" w:color="auto" w:sz="4" w:space="0"/>
              <w:right w:val="single" w:color="auto" w:sz="4" w:space="0"/>
            </w:tcBorders>
          </w:tcPr>
          <w:p w14:paraId="6E4E3EA9">
            <w:pPr>
              <w:pStyle w:val="21"/>
              <w:rPr>
                <w:rFonts w:hint="eastAsia" w:ascii="宋体" w:hAnsi="宋体" w:eastAsia="宋体" w:cs="宋体"/>
                <w:color w:val="auto"/>
                <w:sz w:val="24"/>
                <w:szCs w:val="24"/>
                <w:highlight w:val="none"/>
              </w:rPr>
            </w:pPr>
          </w:p>
        </w:tc>
        <w:tc>
          <w:tcPr>
            <w:tcW w:w="1620" w:type="dxa"/>
            <w:tcBorders>
              <w:top w:val="single" w:color="auto" w:sz="4" w:space="0"/>
              <w:left w:val="single" w:color="auto" w:sz="4" w:space="0"/>
              <w:bottom w:val="single" w:color="auto" w:sz="4" w:space="0"/>
              <w:right w:val="single" w:color="auto" w:sz="4" w:space="0"/>
            </w:tcBorders>
          </w:tcPr>
          <w:p w14:paraId="65257091">
            <w:pPr>
              <w:pStyle w:val="21"/>
              <w:rPr>
                <w:rFonts w:hint="eastAsia" w:ascii="宋体" w:hAnsi="宋体" w:eastAsia="宋体" w:cs="宋体"/>
                <w:color w:val="auto"/>
                <w:sz w:val="24"/>
                <w:szCs w:val="24"/>
                <w:highlight w:val="none"/>
              </w:rPr>
            </w:pPr>
          </w:p>
        </w:tc>
        <w:tc>
          <w:tcPr>
            <w:tcW w:w="2600" w:type="dxa"/>
            <w:tcBorders>
              <w:top w:val="single" w:color="auto" w:sz="4" w:space="0"/>
              <w:left w:val="single" w:color="auto" w:sz="4" w:space="0"/>
              <w:bottom w:val="single" w:color="auto" w:sz="4" w:space="0"/>
              <w:right w:val="single" w:color="auto" w:sz="4" w:space="0"/>
            </w:tcBorders>
          </w:tcPr>
          <w:p w14:paraId="4CF6CB9C">
            <w:pPr>
              <w:pStyle w:val="21"/>
              <w:rPr>
                <w:rFonts w:hint="eastAsia" w:ascii="宋体" w:hAnsi="宋体" w:eastAsia="宋体" w:cs="宋体"/>
                <w:color w:val="auto"/>
                <w:sz w:val="24"/>
                <w:szCs w:val="24"/>
                <w:highlight w:val="none"/>
              </w:rPr>
            </w:pPr>
          </w:p>
        </w:tc>
        <w:tc>
          <w:tcPr>
            <w:tcW w:w="2595" w:type="dxa"/>
            <w:tcBorders>
              <w:top w:val="single" w:color="auto" w:sz="4" w:space="0"/>
              <w:left w:val="single" w:color="auto" w:sz="4" w:space="0"/>
              <w:bottom w:val="single" w:color="auto" w:sz="4" w:space="0"/>
              <w:right w:val="single" w:color="auto" w:sz="4" w:space="0"/>
            </w:tcBorders>
          </w:tcPr>
          <w:p w14:paraId="6F12FFF6">
            <w:pPr>
              <w:pStyle w:val="21"/>
              <w:rPr>
                <w:rFonts w:hint="eastAsia" w:ascii="宋体" w:hAnsi="宋体" w:eastAsia="宋体" w:cs="宋体"/>
                <w:color w:val="auto"/>
                <w:sz w:val="24"/>
                <w:szCs w:val="24"/>
                <w:highlight w:val="none"/>
              </w:rPr>
            </w:pPr>
          </w:p>
        </w:tc>
        <w:tc>
          <w:tcPr>
            <w:tcW w:w="2006" w:type="dxa"/>
            <w:tcBorders>
              <w:top w:val="single" w:color="auto" w:sz="4" w:space="0"/>
              <w:left w:val="single" w:color="auto" w:sz="4" w:space="0"/>
              <w:bottom w:val="single" w:color="auto" w:sz="4" w:space="0"/>
              <w:right w:val="single" w:color="auto" w:sz="4" w:space="0"/>
            </w:tcBorders>
          </w:tcPr>
          <w:p w14:paraId="4FF21253">
            <w:pPr>
              <w:pStyle w:val="21"/>
              <w:rPr>
                <w:rFonts w:hint="eastAsia" w:ascii="宋体" w:hAnsi="宋体" w:eastAsia="宋体" w:cs="宋体"/>
                <w:color w:val="auto"/>
                <w:sz w:val="24"/>
                <w:szCs w:val="24"/>
                <w:highlight w:val="none"/>
              </w:rPr>
            </w:pPr>
          </w:p>
        </w:tc>
      </w:tr>
      <w:tr w14:paraId="31F04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tcBorders>
              <w:top w:val="single" w:color="auto" w:sz="4" w:space="0"/>
              <w:left w:val="single" w:color="auto" w:sz="4" w:space="0"/>
              <w:bottom w:val="single" w:color="auto" w:sz="4" w:space="0"/>
              <w:right w:val="single" w:color="auto" w:sz="4" w:space="0"/>
            </w:tcBorders>
          </w:tcPr>
          <w:p w14:paraId="04A5B409">
            <w:pPr>
              <w:pStyle w:val="21"/>
              <w:rPr>
                <w:rFonts w:hint="eastAsia" w:ascii="宋体" w:hAnsi="宋体" w:eastAsia="宋体" w:cs="宋体"/>
                <w:color w:val="auto"/>
                <w:sz w:val="24"/>
                <w:szCs w:val="24"/>
                <w:highlight w:val="none"/>
              </w:rPr>
            </w:pPr>
          </w:p>
        </w:tc>
        <w:tc>
          <w:tcPr>
            <w:tcW w:w="1620" w:type="dxa"/>
            <w:tcBorders>
              <w:top w:val="single" w:color="auto" w:sz="4" w:space="0"/>
              <w:left w:val="single" w:color="auto" w:sz="4" w:space="0"/>
              <w:bottom w:val="single" w:color="auto" w:sz="4" w:space="0"/>
              <w:right w:val="single" w:color="auto" w:sz="4" w:space="0"/>
            </w:tcBorders>
          </w:tcPr>
          <w:p w14:paraId="38DB2BF7">
            <w:pPr>
              <w:pStyle w:val="21"/>
              <w:rPr>
                <w:rFonts w:hint="eastAsia" w:ascii="宋体" w:hAnsi="宋体" w:eastAsia="宋体" w:cs="宋体"/>
                <w:color w:val="auto"/>
                <w:sz w:val="24"/>
                <w:szCs w:val="24"/>
                <w:highlight w:val="none"/>
              </w:rPr>
            </w:pPr>
          </w:p>
        </w:tc>
        <w:tc>
          <w:tcPr>
            <w:tcW w:w="2600" w:type="dxa"/>
            <w:tcBorders>
              <w:top w:val="single" w:color="auto" w:sz="4" w:space="0"/>
              <w:left w:val="single" w:color="auto" w:sz="4" w:space="0"/>
              <w:bottom w:val="single" w:color="auto" w:sz="4" w:space="0"/>
              <w:right w:val="single" w:color="auto" w:sz="4" w:space="0"/>
            </w:tcBorders>
          </w:tcPr>
          <w:p w14:paraId="55017585">
            <w:pPr>
              <w:pStyle w:val="21"/>
              <w:rPr>
                <w:rFonts w:hint="eastAsia" w:ascii="宋体" w:hAnsi="宋体" w:eastAsia="宋体" w:cs="宋体"/>
                <w:color w:val="auto"/>
                <w:sz w:val="24"/>
                <w:szCs w:val="24"/>
                <w:highlight w:val="none"/>
              </w:rPr>
            </w:pPr>
          </w:p>
        </w:tc>
        <w:tc>
          <w:tcPr>
            <w:tcW w:w="2595" w:type="dxa"/>
            <w:tcBorders>
              <w:top w:val="single" w:color="auto" w:sz="4" w:space="0"/>
              <w:left w:val="single" w:color="auto" w:sz="4" w:space="0"/>
              <w:bottom w:val="single" w:color="auto" w:sz="4" w:space="0"/>
              <w:right w:val="single" w:color="auto" w:sz="4" w:space="0"/>
            </w:tcBorders>
          </w:tcPr>
          <w:p w14:paraId="6E57942B">
            <w:pPr>
              <w:pStyle w:val="21"/>
              <w:rPr>
                <w:rFonts w:hint="eastAsia" w:ascii="宋体" w:hAnsi="宋体" w:eastAsia="宋体" w:cs="宋体"/>
                <w:color w:val="auto"/>
                <w:sz w:val="24"/>
                <w:szCs w:val="24"/>
                <w:highlight w:val="none"/>
              </w:rPr>
            </w:pPr>
          </w:p>
        </w:tc>
        <w:tc>
          <w:tcPr>
            <w:tcW w:w="2006" w:type="dxa"/>
            <w:tcBorders>
              <w:top w:val="single" w:color="auto" w:sz="4" w:space="0"/>
              <w:left w:val="single" w:color="auto" w:sz="4" w:space="0"/>
              <w:bottom w:val="single" w:color="auto" w:sz="4" w:space="0"/>
              <w:right w:val="single" w:color="auto" w:sz="4" w:space="0"/>
            </w:tcBorders>
          </w:tcPr>
          <w:p w14:paraId="0565132B">
            <w:pPr>
              <w:pStyle w:val="21"/>
              <w:rPr>
                <w:rFonts w:hint="eastAsia" w:ascii="宋体" w:hAnsi="宋体" w:eastAsia="宋体" w:cs="宋体"/>
                <w:color w:val="auto"/>
                <w:sz w:val="24"/>
                <w:szCs w:val="24"/>
                <w:highlight w:val="none"/>
              </w:rPr>
            </w:pPr>
          </w:p>
        </w:tc>
      </w:tr>
      <w:tr w14:paraId="78614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tcBorders>
              <w:top w:val="single" w:color="auto" w:sz="4" w:space="0"/>
              <w:left w:val="single" w:color="auto" w:sz="4" w:space="0"/>
              <w:bottom w:val="single" w:color="auto" w:sz="4" w:space="0"/>
              <w:right w:val="single" w:color="auto" w:sz="4" w:space="0"/>
            </w:tcBorders>
          </w:tcPr>
          <w:p w14:paraId="544E1777">
            <w:pPr>
              <w:pStyle w:val="21"/>
              <w:rPr>
                <w:rFonts w:hint="eastAsia" w:ascii="宋体" w:hAnsi="宋体" w:eastAsia="宋体" w:cs="宋体"/>
                <w:color w:val="auto"/>
                <w:sz w:val="24"/>
                <w:szCs w:val="24"/>
                <w:highlight w:val="none"/>
              </w:rPr>
            </w:pPr>
          </w:p>
        </w:tc>
        <w:tc>
          <w:tcPr>
            <w:tcW w:w="1620" w:type="dxa"/>
            <w:tcBorders>
              <w:top w:val="single" w:color="auto" w:sz="4" w:space="0"/>
              <w:left w:val="single" w:color="auto" w:sz="4" w:space="0"/>
              <w:bottom w:val="single" w:color="auto" w:sz="4" w:space="0"/>
              <w:right w:val="single" w:color="auto" w:sz="4" w:space="0"/>
            </w:tcBorders>
          </w:tcPr>
          <w:p w14:paraId="4259E4C8">
            <w:pPr>
              <w:pStyle w:val="21"/>
              <w:rPr>
                <w:rFonts w:hint="eastAsia" w:ascii="宋体" w:hAnsi="宋体" w:eastAsia="宋体" w:cs="宋体"/>
                <w:color w:val="auto"/>
                <w:sz w:val="24"/>
                <w:szCs w:val="24"/>
                <w:highlight w:val="none"/>
              </w:rPr>
            </w:pPr>
          </w:p>
        </w:tc>
        <w:tc>
          <w:tcPr>
            <w:tcW w:w="2600" w:type="dxa"/>
            <w:tcBorders>
              <w:top w:val="single" w:color="auto" w:sz="4" w:space="0"/>
              <w:left w:val="single" w:color="auto" w:sz="4" w:space="0"/>
              <w:bottom w:val="single" w:color="auto" w:sz="4" w:space="0"/>
              <w:right w:val="single" w:color="auto" w:sz="4" w:space="0"/>
            </w:tcBorders>
          </w:tcPr>
          <w:p w14:paraId="34C5EEE7">
            <w:pPr>
              <w:pStyle w:val="21"/>
              <w:rPr>
                <w:rFonts w:hint="eastAsia" w:ascii="宋体" w:hAnsi="宋体" w:eastAsia="宋体" w:cs="宋体"/>
                <w:color w:val="auto"/>
                <w:sz w:val="24"/>
                <w:szCs w:val="24"/>
                <w:highlight w:val="none"/>
              </w:rPr>
            </w:pPr>
          </w:p>
        </w:tc>
        <w:tc>
          <w:tcPr>
            <w:tcW w:w="2595" w:type="dxa"/>
            <w:tcBorders>
              <w:top w:val="single" w:color="auto" w:sz="4" w:space="0"/>
              <w:left w:val="single" w:color="auto" w:sz="4" w:space="0"/>
              <w:bottom w:val="single" w:color="auto" w:sz="4" w:space="0"/>
              <w:right w:val="single" w:color="auto" w:sz="4" w:space="0"/>
            </w:tcBorders>
          </w:tcPr>
          <w:p w14:paraId="3421B259">
            <w:pPr>
              <w:pStyle w:val="21"/>
              <w:rPr>
                <w:rFonts w:hint="eastAsia" w:ascii="宋体" w:hAnsi="宋体" w:eastAsia="宋体" w:cs="宋体"/>
                <w:color w:val="auto"/>
                <w:sz w:val="24"/>
                <w:szCs w:val="24"/>
                <w:highlight w:val="none"/>
              </w:rPr>
            </w:pPr>
          </w:p>
        </w:tc>
        <w:tc>
          <w:tcPr>
            <w:tcW w:w="2006" w:type="dxa"/>
            <w:tcBorders>
              <w:top w:val="single" w:color="auto" w:sz="4" w:space="0"/>
              <w:left w:val="single" w:color="auto" w:sz="4" w:space="0"/>
              <w:bottom w:val="single" w:color="auto" w:sz="4" w:space="0"/>
              <w:right w:val="single" w:color="auto" w:sz="4" w:space="0"/>
            </w:tcBorders>
          </w:tcPr>
          <w:p w14:paraId="537323F1">
            <w:pPr>
              <w:pStyle w:val="21"/>
              <w:rPr>
                <w:rFonts w:hint="eastAsia" w:ascii="宋体" w:hAnsi="宋体" w:eastAsia="宋体" w:cs="宋体"/>
                <w:color w:val="auto"/>
                <w:sz w:val="24"/>
                <w:szCs w:val="24"/>
                <w:highlight w:val="none"/>
              </w:rPr>
            </w:pPr>
          </w:p>
        </w:tc>
      </w:tr>
      <w:tr w14:paraId="236BC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tcBorders>
              <w:top w:val="single" w:color="auto" w:sz="4" w:space="0"/>
              <w:left w:val="single" w:color="auto" w:sz="4" w:space="0"/>
              <w:bottom w:val="single" w:color="auto" w:sz="4" w:space="0"/>
              <w:right w:val="single" w:color="auto" w:sz="4" w:space="0"/>
            </w:tcBorders>
          </w:tcPr>
          <w:p w14:paraId="20C28DB7">
            <w:pPr>
              <w:pStyle w:val="21"/>
              <w:rPr>
                <w:rFonts w:hint="eastAsia" w:ascii="宋体" w:hAnsi="宋体" w:eastAsia="宋体" w:cs="宋体"/>
                <w:color w:val="auto"/>
                <w:sz w:val="24"/>
                <w:szCs w:val="24"/>
                <w:highlight w:val="none"/>
              </w:rPr>
            </w:pPr>
          </w:p>
        </w:tc>
        <w:tc>
          <w:tcPr>
            <w:tcW w:w="1620" w:type="dxa"/>
            <w:tcBorders>
              <w:top w:val="single" w:color="auto" w:sz="4" w:space="0"/>
              <w:left w:val="single" w:color="auto" w:sz="4" w:space="0"/>
              <w:bottom w:val="single" w:color="auto" w:sz="4" w:space="0"/>
              <w:right w:val="single" w:color="auto" w:sz="4" w:space="0"/>
            </w:tcBorders>
          </w:tcPr>
          <w:p w14:paraId="5E4A9595">
            <w:pPr>
              <w:pStyle w:val="21"/>
              <w:rPr>
                <w:rFonts w:hint="eastAsia" w:ascii="宋体" w:hAnsi="宋体" w:eastAsia="宋体" w:cs="宋体"/>
                <w:color w:val="auto"/>
                <w:sz w:val="24"/>
                <w:szCs w:val="24"/>
                <w:highlight w:val="none"/>
              </w:rPr>
            </w:pPr>
          </w:p>
        </w:tc>
        <w:tc>
          <w:tcPr>
            <w:tcW w:w="2600" w:type="dxa"/>
            <w:tcBorders>
              <w:top w:val="single" w:color="auto" w:sz="4" w:space="0"/>
              <w:left w:val="single" w:color="auto" w:sz="4" w:space="0"/>
              <w:bottom w:val="single" w:color="auto" w:sz="4" w:space="0"/>
              <w:right w:val="single" w:color="auto" w:sz="4" w:space="0"/>
            </w:tcBorders>
          </w:tcPr>
          <w:p w14:paraId="788B2430">
            <w:pPr>
              <w:pStyle w:val="21"/>
              <w:rPr>
                <w:rFonts w:hint="eastAsia" w:ascii="宋体" w:hAnsi="宋体" w:eastAsia="宋体" w:cs="宋体"/>
                <w:color w:val="auto"/>
                <w:sz w:val="24"/>
                <w:szCs w:val="24"/>
                <w:highlight w:val="none"/>
              </w:rPr>
            </w:pPr>
          </w:p>
        </w:tc>
        <w:tc>
          <w:tcPr>
            <w:tcW w:w="2595" w:type="dxa"/>
            <w:tcBorders>
              <w:top w:val="single" w:color="auto" w:sz="4" w:space="0"/>
              <w:left w:val="single" w:color="auto" w:sz="4" w:space="0"/>
              <w:bottom w:val="single" w:color="auto" w:sz="4" w:space="0"/>
              <w:right w:val="single" w:color="auto" w:sz="4" w:space="0"/>
            </w:tcBorders>
          </w:tcPr>
          <w:p w14:paraId="3557EBD8">
            <w:pPr>
              <w:pStyle w:val="21"/>
              <w:rPr>
                <w:rFonts w:hint="eastAsia" w:ascii="宋体" w:hAnsi="宋体" w:eastAsia="宋体" w:cs="宋体"/>
                <w:color w:val="auto"/>
                <w:sz w:val="24"/>
                <w:szCs w:val="24"/>
                <w:highlight w:val="none"/>
              </w:rPr>
            </w:pPr>
          </w:p>
        </w:tc>
        <w:tc>
          <w:tcPr>
            <w:tcW w:w="2006" w:type="dxa"/>
            <w:tcBorders>
              <w:top w:val="single" w:color="auto" w:sz="4" w:space="0"/>
              <w:left w:val="single" w:color="auto" w:sz="4" w:space="0"/>
              <w:bottom w:val="single" w:color="auto" w:sz="4" w:space="0"/>
              <w:right w:val="single" w:color="auto" w:sz="4" w:space="0"/>
            </w:tcBorders>
          </w:tcPr>
          <w:p w14:paraId="7F4C1200">
            <w:pPr>
              <w:pStyle w:val="21"/>
              <w:rPr>
                <w:rFonts w:hint="eastAsia" w:ascii="宋体" w:hAnsi="宋体" w:eastAsia="宋体" w:cs="宋体"/>
                <w:color w:val="auto"/>
                <w:sz w:val="24"/>
                <w:szCs w:val="24"/>
                <w:highlight w:val="none"/>
              </w:rPr>
            </w:pPr>
          </w:p>
        </w:tc>
      </w:tr>
      <w:tr w14:paraId="162B7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tcBorders>
              <w:top w:val="single" w:color="auto" w:sz="4" w:space="0"/>
              <w:left w:val="single" w:color="auto" w:sz="4" w:space="0"/>
              <w:bottom w:val="single" w:color="auto" w:sz="4" w:space="0"/>
              <w:right w:val="single" w:color="auto" w:sz="4" w:space="0"/>
            </w:tcBorders>
          </w:tcPr>
          <w:p w14:paraId="57240301">
            <w:pPr>
              <w:pStyle w:val="21"/>
              <w:rPr>
                <w:rFonts w:hint="eastAsia" w:ascii="宋体" w:hAnsi="宋体" w:eastAsia="宋体" w:cs="宋体"/>
                <w:color w:val="auto"/>
                <w:sz w:val="24"/>
                <w:szCs w:val="24"/>
                <w:highlight w:val="none"/>
              </w:rPr>
            </w:pPr>
          </w:p>
        </w:tc>
        <w:tc>
          <w:tcPr>
            <w:tcW w:w="1620" w:type="dxa"/>
            <w:tcBorders>
              <w:top w:val="single" w:color="auto" w:sz="4" w:space="0"/>
              <w:left w:val="single" w:color="auto" w:sz="4" w:space="0"/>
              <w:bottom w:val="single" w:color="auto" w:sz="4" w:space="0"/>
              <w:right w:val="single" w:color="auto" w:sz="4" w:space="0"/>
            </w:tcBorders>
          </w:tcPr>
          <w:p w14:paraId="6A8AD96E">
            <w:pPr>
              <w:pStyle w:val="21"/>
              <w:rPr>
                <w:rFonts w:hint="eastAsia" w:ascii="宋体" w:hAnsi="宋体" w:eastAsia="宋体" w:cs="宋体"/>
                <w:color w:val="auto"/>
                <w:sz w:val="24"/>
                <w:szCs w:val="24"/>
                <w:highlight w:val="none"/>
              </w:rPr>
            </w:pPr>
          </w:p>
        </w:tc>
        <w:tc>
          <w:tcPr>
            <w:tcW w:w="2600" w:type="dxa"/>
            <w:tcBorders>
              <w:top w:val="single" w:color="auto" w:sz="4" w:space="0"/>
              <w:left w:val="single" w:color="auto" w:sz="4" w:space="0"/>
              <w:bottom w:val="single" w:color="auto" w:sz="4" w:space="0"/>
              <w:right w:val="single" w:color="auto" w:sz="4" w:space="0"/>
            </w:tcBorders>
          </w:tcPr>
          <w:p w14:paraId="4C33C8E1">
            <w:pPr>
              <w:pStyle w:val="21"/>
              <w:rPr>
                <w:rFonts w:hint="eastAsia" w:ascii="宋体" w:hAnsi="宋体" w:eastAsia="宋体" w:cs="宋体"/>
                <w:color w:val="auto"/>
                <w:sz w:val="24"/>
                <w:szCs w:val="24"/>
                <w:highlight w:val="none"/>
              </w:rPr>
            </w:pPr>
          </w:p>
        </w:tc>
        <w:tc>
          <w:tcPr>
            <w:tcW w:w="2595" w:type="dxa"/>
            <w:tcBorders>
              <w:top w:val="single" w:color="auto" w:sz="4" w:space="0"/>
              <w:left w:val="single" w:color="auto" w:sz="4" w:space="0"/>
              <w:bottom w:val="single" w:color="auto" w:sz="4" w:space="0"/>
              <w:right w:val="single" w:color="auto" w:sz="4" w:space="0"/>
            </w:tcBorders>
          </w:tcPr>
          <w:p w14:paraId="424DDE1F">
            <w:pPr>
              <w:pStyle w:val="21"/>
              <w:rPr>
                <w:rFonts w:hint="eastAsia" w:ascii="宋体" w:hAnsi="宋体" w:eastAsia="宋体" w:cs="宋体"/>
                <w:color w:val="auto"/>
                <w:sz w:val="24"/>
                <w:szCs w:val="24"/>
                <w:highlight w:val="none"/>
              </w:rPr>
            </w:pPr>
          </w:p>
        </w:tc>
        <w:tc>
          <w:tcPr>
            <w:tcW w:w="2006" w:type="dxa"/>
            <w:tcBorders>
              <w:top w:val="single" w:color="auto" w:sz="4" w:space="0"/>
              <w:left w:val="single" w:color="auto" w:sz="4" w:space="0"/>
              <w:bottom w:val="single" w:color="auto" w:sz="4" w:space="0"/>
              <w:right w:val="single" w:color="auto" w:sz="4" w:space="0"/>
            </w:tcBorders>
          </w:tcPr>
          <w:p w14:paraId="6A23B68A">
            <w:pPr>
              <w:pStyle w:val="21"/>
              <w:rPr>
                <w:rFonts w:hint="eastAsia" w:ascii="宋体" w:hAnsi="宋体" w:eastAsia="宋体" w:cs="宋体"/>
                <w:color w:val="auto"/>
                <w:sz w:val="24"/>
                <w:szCs w:val="24"/>
                <w:highlight w:val="none"/>
              </w:rPr>
            </w:pPr>
          </w:p>
        </w:tc>
      </w:tr>
      <w:tr w14:paraId="6B3C5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tcBorders>
              <w:top w:val="single" w:color="auto" w:sz="4" w:space="0"/>
              <w:left w:val="single" w:color="auto" w:sz="4" w:space="0"/>
              <w:bottom w:val="single" w:color="auto" w:sz="4" w:space="0"/>
              <w:right w:val="single" w:color="auto" w:sz="4" w:space="0"/>
            </w:tcBorders>
          </w:tcPr>
          <w:p w14:paraId="1548A2B6">
            <w:pPr>
              <w:pStyle w:val="21"/>
              <w:rPr>
                <w:rFonts w:hint="eastAsia" w:ascii="宋体" w:hAnsi="宋体" w:eastAsia="宋体" w:cs="宋体"/>
                <w:color w:val="auto"/>
                <w:sz w:val="24"/>
                <w:szCs w:val="24"/>
                <w:highlight w:val="none"/>
              </w:rPr>
            </w:pPr>
          </w:p>
        </w:tc>
        <w:tc>
          <w:tcPr>
            <w:tcW w:w="1620" w:type="dxa"/>
            <w:tcBorders>
              <w:top w:val="single" w:color="auto" w:sz="4" w:space="0"/>
              <w:left w:val="single" w:color="auto" w:sz="4" w:space="0"/>
              <w:bottom w:val="single" w:color="auto" w:sz="4" w:space="0"/>
              <w:right w:val="single" w:color="auto" w:sz="4" w:space="0"/>
            </w:tcBorders>
          </w:tcPr>
          <w:p w14:paraId="50CD352A">
            <w:pPr>
              <w:pStyle w:val="21"/>
              <w:rPr>
                <w:rFonts w:hint="eastAsia" w:ascii="宋体" w:hAnsi="宋体" w:eastAsia="宋体" w:cs="宋体"/>
                <w:color w:val="auto"/>
                <w:sz w:val="24"/>
                <w:szCs w:val="24"/>
                <w:highlight w:val="none"/>
              </w:rPr>
            </w:pPr>
          </w:p>
        </w:tc>
        <w:tc>
          <w:tcPr>
            <w:tcW w:w="2600" w:type="dxa"/>
            <w:tcBorders>
              <w:top w:val="single" w:color="auto" w:sz="4" w:space="0"/>
              <w:left w:val="single" w:color="auto" w:sz="4" w:space="0"/>
              <w:bottom w:val="single" w:color="auto" w:sz="4" w:space="0"/>
              <w:right w:val="single" w:color="auto" w:sz="4" w:space="0"/>
            </w:tcBorders>
          </w:tcPr>
          <w:p w14:paraId="1AB112C0">
            <w:pPr>
              <w:pStyle w:val="21"/>
              <w:rPr>
                <w:rFonts w:hint="eastAsia" w:ascii="宋体" w:hAnsi="宋体" w:eastAsia="宋体" w:cs="宋体"/>
                <w:color w:val="auto"/>
                <w:sz w:val="24"/>
                <w:szCs w:val="24"/>
                <w:highlight w:val="none"/>
              </w:rPr>
            </w:pPr>
          </w:p>
        </w:tc>
        <w:tc>
          <w:tcPr>
            <w:tcW w:w="2595" w:type="dxa"/>
            <w:tcBorders>
              <w:top w:val="single" w:color="auto" w:sz="4" w:space="0"/>
              <w:left w:val="single" w:color="auto" w:sz="4" w:space="0"/>
              <w:bottom w:val="single" w:color="auto" w:sz="4" w:space="0"/>
              <w:right w:val="single" w:color="auto" w:sz="4" w:space="0"/>
            </w:tcBorders>
          </w:tcPr>
          <w:p w14:paraId="09B446DD">
            <w:pPr>
              <w:pStyle w:val="21"/>
              <w:rPr>
                <w:rFonts w:hint="eastAsia" w:ascii="宋体" w:hAnsi="宋体" w:eastAsia="宋体" w:cs="宋体"/>
                <w:color w:val="auto"/>
                <w:sz w:val="24"/>
                <w:szCs w:val="24"/>
                <w:highlight w:val="none"/>
              </w:rPr>
            </w:pPr>
          </w:p>
        </w:tc>
        <w:tc>
          <w:tcPr>
            <w:tcW w:w="2006" w:type="dxa"/>
            <w:tcBorders>
              <w:top w:val="single" w:color="auto" w:sz="4" w:space="0"/>
              <w:left w:val="single" w:color="auto" w:sz="4" w:space="0"/>
              <w:bottom w:val="single" w:color="auto" w:sz="4" w:space="0"/>
              <w:right w:val="single" w:color="auto" w:sz="4" w:space="0"/>
            </w:tcBorders>
          </w:tcPr>
          <w:p w14:paraId="339D9B49">
            <w:pPr>
              <w:pStyle w:val="21"/>
              <w:rPr>
                <w:rFonts w:hint="eastAsia" w:ascii="宋体" w:hAnsi="宋体" w:eastAsia="宋体" w:cs="宋体"/>
                <w:color w:val="auto"/>
                <w:sz w:val="24"/>
                <w:szCs w:val="24"/>
                <w:highlight w:val="none"/>
              </w:rPr>
            </w:pPr>
          </w:p>
        </w:tc>
      </w:tr>
      <w:tr w14:paraId="510C4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tcBorders>
              <w:top w:val="single" w:color="auto" w:sz="4" w:space="0"/>
              <w:left w:val="single" w:color="auto" w:sz="4" w:space="0"/>
              <w:bottom w:val="single" w:color="auto" w:sz="4" w:space="0"/>
              <w:right w:val="single" w:color="auto" w:sz="4" w:space="0"/>
            </w:tcBorders>
          </w:tcPr>
          <w:p w14:paraId="0703298B">
            <w:pPr>
              <w:pStyle w:val="21"/>
              <w:rPr>
                <w:rFonts w:hint="eastAsia" w:ascii="宋体" w:hAnsi="宋体" w:eastAsia="宋体" w:cs="宋体"/>
                <w:color w:val="auto"/>
                <w:sz w:val="24"/>
                <w:szCs w:val="24"/>
                <w:highlight w:val="none"/>
              </w:rPr>
            </w:pPr>
          </w:p>
        </w:tc>
        <w:tc>
          <w:tcPr>
            <w:tcW w:w="1620" w:type="dxa"/>
            <w:tcBorders>
              <w:top w:val="single" w:color="auto" w:sz="4" w:space="0"/>
              <w:left w:val="single" w:color="auto" w:sz="4" w:space="0"/>
              <w:bottom w:val="single" w:color="auto" w:sz="4" w:space="0"/>
              <w:right w:val="single" w:color="auto" w:sz="4" w:space="0"/>
            </w:tcBorders>
          </w:tcPr>
          <w:p w14:paraId="6BB13EAC">
            <w:pPr>
              <w:pStyle w:val="21"/>
              <w:rPr>
                <w:rFonts w:hint="eastAsia" w:ascii="宋体" w:hAnsi="宋体" w:eastAsia="宋体" w:cs="宋体"/>
                <w:color w:val="auto"/>
                <w:sz w:val="24"/>
                <w:szCs w:val="24"/>
                <w:highlight w:val="none"/>
              </w:rPr>
            </w:pPr>
          </w:p>
        </w:tc>
        <w:tc>
          <w:tcPr>
            <w:tcW w:w="2600" w:type="dxa"/>
            <w:tcBorders>
              <w:top w:val="single" w:color="auto" w:sz="4" w:space="0"/>
              <w:left w:val="single" w:color="auto" w:sz="4" w:space="0"/>
              <w:bottom w:val="single" w:color="auto" w:sz="4" w:space="0"/>
              <w:right w:val="single" w:color="auto" w:sz="4" w:space="0"/>
            </w:tcBorders>
          </w:tcPr>
          <w:p w14:paraId="2378F782">
            <w:pPr>
              <w:pStyle w:val="21"/>
              <w:rPr>
                <w:rFonts w:hint="eastAsia" w:ascii="宋体" w:hAnsi="宋体" w:eastAsia="宋体" w:cs="宋体"/>
                <w:color w:val="auto"/>
                <w:sz w:val="24"/>
                <w:szCs w:val="24"/>
                <w:highlight w:val="none"/>
              </w:rPr>
            </w:pPr>
          </w:p>
        </w:tc>
        <w:tc>
          <w:tcPr>
            <w:tcW w:w="2595" w:type="dxa"/>
            <w:tcBorders>
              <w:top w:val="single" w:color="auto" w:sz="4" w:space="0"/>
              <w:left w:val="single" w:color="auto" w:sz="4" w:space="0"/>
              <w:bottom w:val="single" w:color="auto" w:sz="4" w:space="0"/>
              <w:right w:val="single" w:color="auto" w:sz="4" w:space="0"/>
            </w:tcBorders>
          </w:tcPr>
          <w:p w14:paraId="1446EAA1">
            <w:pPr>
              <w:pStyle w:val="21"/>
              <w:rPr>
                <w:rFonts w:hint="eastAsia" w:ascii="宋体" w:hAnsi="宋体" w:eastAsia="宋体" w:cs="宋体"/>
                <w:color w:val="auto"/>
                <w:sz w:val="24"/>
                <w:szCs w:val="24"/>
                <w:highlight w:val="none"/>
              </w:rPr>
            </w:pPr>
          </w:p>
        </w:tc>
        <w:tc>
          <w:tcPr>
            <w:tcW w:w="2006" w:type="dxa"/>
            <w:tcBorders>
              <w:top w:val="single" w:color="auto" w:sz="4" w:space="0"/>
              <w:left w:val="single" w:color="auto" w:sz="4" w:space="0"/>
              <w:bottom w:val="single" w:color="auto" w:sz="4" w:space="0"/>
              <w:right w:val="single" w:color="auto" w:sz="4" w:space="0"/>
            </w:tcBorders>
          </w:tcPr>
          <w:p w14:paraId="637392B5">
            <w:pPr>
              <w:pStyle w:val="21"/>
              <w:rPr>
                <w:rFonts w:hint="eastAsia" w:ascii="宋体" w:hAnsi="宋体" w:eastAsia="宋体" w:cs="宋体"/>
                <w:color w:val="auto"/>
                <w:sz w:val="24"/>
                <w:szCs w:val="24"/>
                <w:highlight w:val="none"/>
              </w:rPr>
            </w:pPr>
          </w:p>
        </w:tc>
      </w:tr>
      <w:tr w14:paraId="0064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tcBorders>
              <w:top w:val="single" w:color="auto" w:sz="4" w:space="0"/>
              <w:left w:val="single" w:color="auto" w:sz="4" w:space="0"/>
              <w:bottom w:val="single" w:color="auto" w:sz="4" w:space="0"/>
              <w:right w:val="single" w:color="auto" w:sz="4" w:space="0"/>
            </w:tcBorders>
          </w:tcPr>
          <w:p w14:paraId="10B23DC9">
            <w:pPr>
              <w:pStyle w:val="21"/>
              <w:rPr>
                <w:rFonts w:hint="eastAsia" w:ascii="宋体" w:hAnsi="宋体" w:eastAsia="宋体" w:cs="宋体"/>
                <w:color w:val="auto"/>
                <w:sz w:val="24"/>
                <w:szCs w:val="24"/>
                <w:highlight w:val="none"/>
              </w:rPr>
            </w:pPr>
          </w:p>
        </w:tc>
        <w:tc>
          <w:tcPr>
            <w:tcW w:w="1620" w:type="dxa"/>
            <w:tcBorders>
              <w:top w:val="single" w:color="auto" w:sz="4" w:space="0"/>
              <w:left w:val="single" w:color="auto" w:sz="4" w:space="0"/>
              <w:bottom w:val="single" w:color="auto" w:sz="4" w:space="0"/>
              <w:right w:val="single" w:color="auto" w:sz="4" w:space="0"/>
            </w:tcBorders>
          </w:tcPr>
          <w:p w14:paraId="0E9501FE">
            <w:pPr>
              <w:pStyle w:val="21"/>
              <w:rPr>
                <w:rFonts w:hint="eastAsia" w:ascii="宋体" w:hAnsi="宋体" w:eastAsia="宋体" w:cs="宋体"/>
                <w:color w:val="auto"/>
                <w:sz w:val="24"/>
                <w:szCs w:val="24"/>
                <w:highlight w:val="none"/>
              </w:rPr>
            </w:pPr>
          </w:p>
        </w:tc>
        <w:tc>
          <w:tcPr>
            <w:tcW w:w="2600" w:type="dxa"/>
            <w:tcBorders>
              <w:top w:val="single" w:color="auto" w:sz="4" w:space="0"/>
              <w:left w:val="single" w:color="auto" w:sz="4" w:space="0"/>
              <w:bottom w:val="single" w:color="auto" w:sz="4" w:space="0"/>
              <w:right w:val="single" w:color="auto" w:sz="4" w:space="0"/>
            </w:tcBorders>
          </w:tcPr>
          <w:p w14:paraId="7B0369D7">
            <w:pPr>
              <w:pStyle w:val="21"/>
              <w:rPr>
                <w:rFonts w:hint="eastAsia" w:ascii="宋体" w:hAnsi="宋体" w:eastAsia="宋体" w:cs="宋体"/>
                <w:color w:val="auto"/>
                <w:sz w:val="24"/>
                <w:szCs w:val="24"/>
                <w:highlight w:val="none"/>
              </w:rPr>
            </w:pPr>
          </w:p>
        </w:tc>
        <w:tc>
          <w:tcPr>
            <w:tcW w:w="2595" w:type="dxa"/>
            <w:tcBorders>
              <w:top w:val="single" w:color="auto" w:sz="4" w:space="0"/>
              <w:left w:val="single" w:color="auto" w:sz="4" w:space="0"/>
              <w:bottom w:val="single" w:color="auto" w:sz="4" w:space="0"/>
              <w:right w:val="single" w:color="auto" w:sz="4" w:space="0"/>
            </w:tcBorders>
          </w:tcPr>
          <w:p w14:paraId="3215482D">
            <w:pPr>
              <w:pStyle w:val="21"/>
              <w:rPr>
                <w:rFonts w:hint="eastAsia" w:ascii="宋体" w:hAnsi="宋体" w:eastAsia="宋体" w:cs="宋体"/>
                <w:color w:val="auto"/>
                <w:sz w:val="24"/>
                <w:szCs w:val="24"/>
                <w:highlight w:val="none"/>
              </w:rPr>
            </w:pPr>
          </w:p>
        </w:tc>
        <w:tc>
          <w:tcPr>
            <w:tcW w:w="2006" w:type="dxa"/>
            <w:tcBorders>
              <w:top w:val="single" w:color="auto" w:sz="4" w:space="0"/>
              <w:left w:val="single" w:color="auto" w:sz="4" w:space="0"/>
              <w:bottom w:val="single" w:color="auto" w:sz="4" w:space="0"/>
              <w:right w:val="single" w:color="auto" w:sz="4" w:space="0"/>
            </w:tcBorders>
          </w:tcPr>
          <w:p w14:paraId="2D5C41F4">
            <w:pPr>
              <w:pStyle w:val="21"/>
              <w:rPr>
                <w:rFonts w:hint="eastAsia" w:ascii="宋体" w:hAnsi="宋体" w:eastAsia="宋体" w:cs="宋体"/>
                <w:color w:val="auto"/>
                <w:sz w:val="24"/>
                <w:szCs w:val="24"/>
                <w:highlight w:val="none"/>
              </w:rPr>
            </w:pPr>
          </w:p>
        </w:tc>
      </w:tr>
    </w:tbl>
    <w:p w14:paraId="5E6640CA">
      <w:pPr>
        <w:pStyle w:val="21"/>
        <w:spacing w:line="600" w:lineRule="exact"/>
        <w:rPr>
          <w:rFonts w:hint="eastAsia" w:ascii="宋体" w:hAnsi="宋体" w:eastAsia="宋体" w:cs="宋体"/>
          <w:b/>
          <w:color w:val="auto"/>
          <w:sz w:val="24"/>
          <w:szCs w:val="24"/>
          <w:highlight w:val="none"/>
        </w:rPr>
      </w:pPr>
    </w:p>
    <w:p w14:paraId="39CE35AE">
      <w:pPr>
        <w:pStyle w:val="15"/>
        <w:rPr>
          <w:rFonts w:hint="eastAsia" w:ascii="宋体" w:hAnsi="宋体" w:eastAsia="宋体" w:cs="宋体"/>
          <w:color w:val="auto"/>
          <w:sz w:val="24"/>
          <w:szCs w:val="24"/>
          <w:highlight w:val="none"/>
        </w:rPr>
      </w:pPr>
    </w:p>
    <w:p w14:paraId="7825661D">
      <w:pPr>
        <w:spacing w:line="480" w:lineRule="auto"/>
        <w:ind w:firstLine="480" w:firstLineChars="200"/>
        <w:jc w:val="left"/>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投标人：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(电子签章) </w:t>
      </w:r>
    </w:p>
    <w:p w14:paraId="6B97EB05">
      <w:pPr>
        <w:spacing w:line="48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法定代表人或其委托代理人：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(电子签章或签名) </w:t>
      </w:r>
    </w:p>
    <w:p w14:paraId="145411A8">
      <w:pPr>
        <w:spacing w:line="48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日期：</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年</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月</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日</w:t>
      </w:r>
    </w:p>
    <w:p w14:paraId="2B34AE11">
      <w:pPr>
        <w:rPr>
          <w:rFonts w:hint="eastAsia" w:ascii="宋体" w:hAnsi="宋体" w:eastAsia="宋体" w:cs="宋体"/>
          <w:color w:val="auto"/>
          <w:highlight w:val="none"/>
        </w:rPr>
      </w:pPr>
    </w:p>
    <w:p w14:paraId="2FCD11BF">
      <w:pPr>
        <w:rPr>
          <w:rFonts w:hint="eastAsia" w:ascii="宋体" w:hAnsi="宋体" w:eastAsia="宋体" w:cs="宋体"/>
          <w:color w:val="auto"/>
          <w:highlight w:val="none"/>
        </w:rPr>
      </w:pPr>
    </w:p>
    <w:p w14:paraId="1FB44D96">
      <w:pPr>
        <w:rPr>
          <w:rFonts w:hint="eastAsia" w:ascii="宋体" w:hAnsi="宋体" w:eastAsia="宋体" w:cs="宋体"/>
          <w:color w:val="auto"/>
          <w:highlight w:val="none"/>
        </w:rPr>
      </w:pPr>
    </w:p>
    <w:p w14:paraId="229AEE9B">
      <w:pPr>
        <w:rPr>
          <w:rFonts w:hint="eastAsia" w:ascii="宋体" w:hAnsi="宋体" w:eastAsia="宋体" w:cs="宋体"/>
          <w:color w:val="auto"/>
          <w:highlight w:val="none"/>
        </w:rPr>
      </w:pPr>
    </w:p>
    <w:p w14:paraId="6C572BF2">
      <w:pPr>
        <w:rPr>
          <w:rFonts w:hint="eastAsia" w:ascii="宋体" w:hAnsi="宋体" w:eastAsia="宋体" w:cs="宋体"/>
          <w:color w:val="auto"/>
          <w:highlight w:val="none"/>
        </w:rPr>
      </w:pPr>
    </w:p>
    <w:p w14:paraId="118C4FCA">
      <w:pPr>
        <w:rPr>
          <w:rFonts w:hint="eastAsia" w:ascii="宋体" w:hAnsi="宋体" w:eastAsia="宋体" w:cs="宋体"/>
          <w:color w:val="auto"/>
          <w:highlight w:val="none"/>
        </w:rPr>
      </w:pPr>
    </w:p>
    <w:p w14:paraId="50DCF166">
      <w:pPr>
        <w:rPr>
          <w:rFonts w:hint="eastAsia" w:ascii="宋体" w:hAnsi="宋体" w:eastAsia="宋体" w:cs="宋体"/>
          <w:color w:val="auto"/>
          <w:highlight w:val="none"/>
        </w:rPr>
      </w:pPr>
    </w:p>
    <w:p w14:paraId="49DE1918">
      <w:pPr>
        <w:jc w:val="center"/>
        <w:outlineLvl w:val="1"/>
        <w:rPr>
          <w:rFonts w:hint="eastAsia" w:ascii="宋体" w:hAnsi="宋体" w:eastAsia="宋体" w:cs="宋体"/>
          <w:color w:val="auto"/>
          <w:highlight w:val="none"/>
        </w:rPr>
      </w:pPr>
      <w:r>
        <w:rPr>
          <w:rFonts w:hint="eastAsia" w:ascii="宋体" w:hAnsi="宋体" w:eastAsia="宋体" w:cs="宋体"/>
          <w:b/>
          <w:color w:val="auto"/>
          <w:kern w:val="0"/>
          <w:sz w:val="24"/>
          <w:highlight w:val="none"/>
          <w:lang w:bidi="ar"/>
        </w:rPr>
        <w:br w:type="page"/>
      </w:r>
      <w:bookmarkStart w:id="280" w:name="_Toc2152"/>
      <w:bookmarkStart w:id="281" w:name="_Toc30706"/>
      <w:bookmarkStart w:id="282" w:name="_Toc8836"/>
      <w:bookmarkStart w:id="283" w:name="_Toc5650"/>
      <w:r>
        <w:rPr>
          <w:rStyle w:val="136"/>
          <w:rFonts w:hint="eastAsia" w:ascii="宋体" w:hAnsi="宋体" w:eastAsia="宋体" w:cs="宋体"/>
          <w:color w:val="auto"/>
          <w:highlight w:val="none"/>
        </w:rPr>
        <w:t>三、资格审查部分格式</w:t>
      </w:r>
      <w:bookmarkEnd w:id="247"/>
      <w:bookmarkEnd w:id="248"/>
      <w:bookmarkEnd w:id="249"/>
      <w:bookmarkEnd w:id="280"/>
      <w:bookmarkEnd w:id="281"/>
      <w:bookmarkEnd w:id="282"/>
      <w:bookmarkEnd w:id="283"/>
    </w:p>
    <w:p w14:paraId="4A8641B9">
      <w:pPr>
        <w:pStyle w:val="4"/>
        <w:spacing w:before="0"/>
        <w:jc w:val="center"/>
        <w:outlineLvl w:val="2"/>
        <w:rPr>
          <w:rFonts w:hint="eastAsia" w:ascii="宋体" w:hAnsi="宋体" w:eastAsia="宋体" w:cs="宋体"/>
          <w:color w:val="auto"/>
          <w:szCs w:val="28"/>
          <w:highlight w:val="none"/>
        </w:rPr>
      </w:pPr>
      <w:bookmarkStart w:id="284" w:name="_Toc1698"/>
      <w:bookmarkStart w:id="285" w:name="_Toc20352"/>
      <w:bookmarkStart w:id="286" w:name="_Toc8335"/>
      <w:bookmarkStart w:id="287" w:name="_Toc20546"/>
      <w:r>
        <w:rPr>
          <w:rFonts w:hint="eastAsia" w:ascii="宋体" w:hAnsi="宋体" w:eastAsia="宋体" w:cs="宋体"/>
          <w:color w:val="auto"/>
          <w:szCs w:val="28"/>
          <w:highlight w:val="none"/>
        </w:rPr>
        <w:t>（一）</w:t>
      </w:r>
      <w:r>
        <w:rPr>
          <w:rFonts w:hint="eastAsia" w:ascii="宋体" w:hAnsi="宋体" w:eastAsia="宋体" w:cs="宋体"/>
          <w:color w:val="auto"/>
          <w:szCs w:val="28"/>
          <w:highlight w:val="none"/>
          <w:lang w:eastAsia="zh-CN"/>
        </w:rPr>
        <w:t>投标人</w:t>
      </w:r>
      <w:r>
        <w:rPr>
          <w:rFonts w:hint="eastAsia" w:ascii="宋体" w:hAnsi="宋体" w:eastAsia="宋体" w:cs="宋体"/>
          <w:color w:val="auto"/>
          <w:szCs w:val="28"/>
          <w:highlight w:val="none"/>
        </w:rPr>
        <w:t>基本情况表</w:t>
      </w:r>
      <w:bookmarkEnd w:id="284"/>
      <w:bookmarkEnd w:id="285"/>
      <w:bookmarkEnd w:id="286"/>
      <w:bookmarkEnd w:id="287"/>
    </w:p>
    <w:bookmarkEnd w:id="242"/>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6"/>
        <w:gridCol w:w="972"/>
        <w:gridCol w:w="1315"/>
        <w:gridCol w:w="1336"/>
        <w:gridCol w:w="1380"/>
        <w:gridCol w:w="288"/>
        <w:gridCol w:w="785"/>
        <w:gridCol w:w="1569"/>
      </w:tblGrid>
      <w:tr w14:paraId="70158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76" w:type="dxa"/>
            <w:vAlign w:val="center"/>
          </w:tcPr>
          <w:p w14:paraId="7C3587F7">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名称</w:t>
            </w:r>
          </w:p>
        </w:tc>
        <w:tc>
          <w:tcPr>
            <w:tcW w:w="7645" w:type="dxa"/>
            <w:gridSpan w:val="7"/>
            <w:vAlign w:val="center"/>
          </w:tcPr>
          <w:p w14:paraId="5156E50D">
            <w:pPr>
              <w:jc w:val="center"/>
              <w:rPr>
                <w:rFonts w:hint="eastAsia" w:ascii="宋体" w:hAnsi="宋体" w:eastAsia="宋体" w:cs="宋体"/>
                <w:color w:val="auto"/>
                <w:sz w:val="24"/>
                <w:highlight w:val="none"/>
              </w:rPr>
            </w:pPr>
          </w:p>
        </w:tc>
      </w:tr>
      <w:tr w14:paraId="4A03B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76" w:type="dxa"/>
            <w:vAlign w:val="center"/>
          </w:tcPr>
          <w:p w14:paraId="628FE6B0">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注册地址</w:t>
            </w:r>
          </w:p>
        </w:tc>
        <w:tc>
          <w:tcPr>
            <w:tcW w:w="3623" w:type="dxa"/>
            <w:gridSpan w:val="3"/>
            <w:vAlign w:val="center"/>
          </w:tcPr>
          <w:p w14:paraId="6AB428DB">
            <w:pPr>
              <w:jc w:val="center"/>
              <w:rPr>
                <w:rFonts w:hint="eastAsia" w:ascii="宋体" w:hAnsi="宋体" w:eastAsia="宋体" w:cs="宋体"/>
                <w:color w:val="auto"/>
                <w:sz w:val="24"/>
                <w:highlight w:val="none"/>
              </w:rPr>
            </w:pPr>
          </w:p>
        </w:tc>
        <w:tc>
          <w:tcPr>
            <w:tcW w:w="1380" w:type="dxa"/>
            <w:vAlign w:val="center"/>
          </w:tcPr>
          <w:p w14:paraId="7038290F">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邮政编码</w:t>
            </w:r>
          </w:p>
        </w:tc>
        <w:tc>
          <w:tcPr>
            <w:tcW w:w="2642" w:type="dxa"/>
            <w:gridSpan w:val="3"/>
            <w:vAlign w:val="center"/>
          </w:tcPr>
          <w:p w14:paraId="3D3A1B22">
            <w:pPr>
              <w:jc w:val="center"/>
              <w:rPr>
                <w:rFonts w:hint="eastAsia" w:ascii="宋体" w:hAnsi="宋体" w:eastAsia="宋体" w:cs="宋体"/>
                <w:color w:val="auto"/>
                <w:sz w:val="24"/>
                <w:highlight w:val="none"/>
              </w:rPr>
            </w:pPr>
          </w:p>
        </w:tc>
      </w:tr>
      <w:tr w14:paraId="6762E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76" w:type="dxa"/>
            <w:vMerge w:val="restart"/>
            <w:vAlign w:val="center"/>
          </w:tcPr>
          <w:p w14:paraId="7C800C6A">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联系方式</w:t>
            </w:r>
          </w:p>
        </w:tc>
        <w:tc>
          <w:tcPr>
            <w:tcW w:w="972" w:type="dxa"/>
            <w:vAlign w:val="center"/>
          </w:tcPr>
          <w:p w14:paraId="7BBD8923">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联系人</w:t>
            </w:r>
          </w:p>
        </w:tc>
        <w:tc>
          <w:tcPr>
            <w:tcW w:w="2651" w:type="dxa"/>
            <w:gridSpan w:val="2"/>
            <w:vAlign w:val="center"/>
          </w:tcPr>
          <w:p w14:paraId="15848011">
            <w:pPr>
              <w:jc w:val="center"/>
              <w:rPr>
                <w:rFonts w:hint="eastAsia" w:ascii="宋体" w:hAnsi="宋体" w:eastAsia="宋体" w:cs="宋体"/>
                <w:color w:val="auto"/>
                <w:sz w:val="24"/>
                <w:highlight w:val="none"/>
              </w:rPr>
            </w:pPr>
          </w:p>
        </w:tc>
        <w:tc>
          <w:tcPr>
            <w:tcW w:w="1380" w:type="dxa"/>
            <w:vAlign w:val="center"/>
          </w:tcPr>
          <w:p w14:paraId="5804442C">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电  话</w:t>
            </w:r>
          </w:p>
        </w:tc>
        <w:tc>
          <w:tcPr>
            <w:tcW w:w="2642" w:type="dxa"/>
            <w:gridSpan w:val="3"/>
            <w:vAlign w:val="center"/>
          </w:tcPr>
          <w:p w14:paraId="686BEF57">
            <w:pPr>
              <w:jc w:val="center"/>
              <w:rPr>
                <w:rFonts w:hint="eastAsia" w:ascii="宋体" w:hAnsi="宋体" w:eastAsia="宋体" w:cs="宋体"/>
                <w:color w:val="auto"/>
                <w:sz w:val="24"/>
                <w:highlight w:val="none"/>
              </w:rPr>
            </w:pPr>
          </w:p>
        </w:tc>
      </w:tr>
      <w:tr w14:paraId="7D832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76" w:type="dxa"/>
            <w:vMerge w:val="continue"/>
            <w:vAlign w:val="center"/>
          </w:tcPr>
          <w:p w14:paraId="2AEB7587">
            <w:pPr>
              <w:jc w:val="center"/>
              <w:rPr>
                <w:rFonts w:hint="eastAsia" w:ascii="宋体" w:hAnsi="宋体" w:eastAsia="宋体" w:cs="宋体"/>
                <w:color w:val="auto"/>
                <w:sz w:val="24"/>
                <w:highlight w:val="none"/>
              </w:rPr>
            </w:pPr>
          </w:p>
        </w:tc>
        <w:tc>
          <w:tcPr>
            <w:tcW w:w="972" w:type="dxa"/>
            <w:vAlign w:val="center"/>
          </w:tcPr>
          <w:p w14:paraId="4A44956A">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传  真</w:t>
            </w:r>
          </w:p>
        </w:tc>
        <w:tc>
          <w:tcPr>
            <w:tcW w:w="2651" w:type="dxa"/>
            <w:gridSpan w:val="2"/>
            <w:vAlign w:val="center"/>
          </w:tcPr>
          <w:p w14:paraId="3F2BBA17">
            <w:pPr>
              <w:jc w:val="center"/>
              <w:rPr>
                <w:rFonts w:hint="eastAsia" w:ascii="宋体" w:hAnsi="宋体" w:eastAsia="宋体" w:cs="宋体"/>
                <w:color w:val="auto"/>
                <w:sz w:val="24"/>
                <w:highlight w:val="none"/>
              </w:rPr>
            </w:pPr>
          </w:p>
        </w:tc>
        <w:tc>
          <w:tcPr>
            <w:tcW w:w="1380" w:type="dxa"/>
            <w:vAlign w:val="center"/>
          </w:tcPr>
          <w:p w14:paraId="53358084">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网  址</w:t>
            </w:r>
          </w:p>
        </w:tc>
        <w:tc>
          <w:tcPr>
            <w:tcW w:w="2642" w:type="dxa"/>
            <w:gridSpan w:val="3"/>
            <w:vAlign w:val="center"/>
          </w:tcPr>
          <w:p w14:paraId="22889FFD">
            <w:pPr>
              <w:jc w:val="center"/>
              <w:rPr>
                <w:rFonts w:hint="eastAsia" w:ascii="宋体" w:hAnsi="宋体" w:eastAsia="宋体" w:cs="宋体"/>
                <w:color w:val="auto"/>
                <w:sz w:val="24"/>
                <w:highlight w:val="none"/>
              </w:rPr>
            </w:pPr>
          </w:p>
        </w:tc>
      </w:tr>
      <w:tr w14:paraId="3E8EE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76" w:type="dxa"/>
            <w:vAlign w:val="center"/>
          </w:tcPr>
          <w:p w14:paraId="3E2D4B75">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w:t>
            </w:r>
          </w:p>
        </w:tc>
        <w:tc>
          <w:tcPr>
            <w:tcW w:w="972" w:type="dxa"/>
            <w:vAlign w:val="center"/>
          </w:tcPr>
          <w:p w14:paraId="56EDA680">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姓名</w:t>
            </w:r>
          </w:p>
        </w:tc>
        <w:tc>
          <w:tcPr>
            <w:tcW w:w="1315" w:type="dxa"/>
            <w:vAlign w:val="center"/>
          </w:tcPr>
          <w:p w14:paraId="0364470F">
            <w:pPr>
              <w:jc w:val="center"/>
              <w:rPr>
                <w:rFonts w:hint="eastAsia" w:ascii="宋体" w:hAnsi="宋体" w:eastAsia="宋体" w:cs="宋体"/>
                <w:color w:val="auto"/>
                <w:sz w:val="24"/>
                <w:highlight w:val="none"/>
              </w:rPr>
            </w:pPr>
          </w:p>
        </w:tc>
        <w:tc>
          <w:tcPr>
            <w:tcW w:w="1336" w:type="dxa"/>
            <w:vAlign w:val="center"/>
          </w:tcPr>
          <w:p w14:paraId="2E15BA1E">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技术职称</w:t>
            </w:r>
          </w:p>
        </w:tc>
        <w:tc>
          <w:tcPr>
            <w:tcW w:w="1668" w:type="dxa"/>
            <w:gridSpan w:val="2"/>
            <w:vAlign w:val="center"/>
          </w:tcPr>
          <w:p w14:paraId="464CFAA6">
            <w:pPr>
              <w:jc w:val="center"/>
              <w:rPr>
                <w:rFonts w:hint="eastAsia" w:ascii="宋体" w:hAnsi="宋体" w:eastAsia="宋体" w:cs="宋体"/>
                <w:color w:val="auto"/>
                <w:sz w:val="24"/>
                <w:highlight w:val="none"/>
              </w:rPr>
            </w:pPr>
          </w:p>
        </w:tc>
        <w:tc>
          <w:tcPr>
            <w:tcW w:w="785" w:type="dxa"/>
            <w:vAlign w:val="center"/>
          </w:tcPr>
          <w:p w14:paraId="638855DC">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电话</w:t>
            </w:r>
          </w:p>
        </w:tc>
        <w:tc>
          <w:tcPr>
            <w:tcW w:w="1569" w:type="dxa"/>
            <w:vAlign w:val="center"/>
          </w:tcPr>
          <w:p w14:paraId="5B20146A">
            <w:pPr>
              <w:jc w:val="center"/>
              <w:rPr>
                <w:rFonts w:hint="eastAsia" w:ascii="宋体" w:hAnsi="宋体" w:eastAsia="宋体" w:cs="宋体"/>
                <w:color w:val="auto"/>
                <w:sz w:val="24"/>
                <w:highlight w:val="none"/>
              </w:rPr>
            </w:pPr>
          </w:p>
        </w:tc>
      </w:tr>
      <w:tr w14:paraId="77DD5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76" w:type="dxa"/>
            <w:vAlign w:val="center"/>
          </w:tcPr>
          <w:p w14:paraId="15570716">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项目负责人</w:t>
            </w:r>
          </w:p>
        </w:tc>
        <w:tc>
          <w:tcPr>
            <w:tcW w:w="972" w:type="dxa"/>
            <w:vAlign w:val="center"/>
          </w:tcPr>
          <w:p w14:paraId="5816F7AF">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姓名</w:t>
            </w:r>
          </w:p>
        </w:tc>
        <w:tc>
          <w:tcPr>
            <w:tcW w:w="1315" w:type="dxa"/>
            <w:vAlign w:val="center"/>
          </w:tcPr>
          <w:p w14:paraId="61B1DA52">
            <w:pPr>
              <w:jc w:val="center"/>
              <w:rPr>
                <w:rFonts w:hint="eastAsia" w:ascii="宋体" w:hAnsi="宋体" w:eastAsia="宋体" w:cs="宋体"/>
                <w:color w:val="auto"/>
                <w:sz w:val="24"/>
                <w:highlight w:val="none"/>
              </w:rPr>
            </w:pPr>
          </w:p>
        </w:tc>
        <w:tc>
          <w:tcPr>
            <w:tcW w:w="1336" w:type="dxa"/>
            <w:vAlign w:val="center"/>
          </w:tcPr>
          <w:p w14:paraId="124908AE">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技术职称</w:t>
            </w:r>
          </w:p>
        </w:tc>
        <w:tc>
          <w:tcPr>
            <w:tcW w:w="1668" w:type="dxa"/>
            <w:gridSpan w:val="2"/>
            <w:vAlign w:val="center"/>
          </w:tcPr>
          <w:p w14:paraId="3DF60F46">
            <w:pPr>
              <w:jc w:val="center"/>
              <w:rPr>
                <w:rFonts w:hint="eastAsia" w:ascii="宋体" w:hAnsi="宋体" w:eastAsia="宋体" w:cs="宋体"/>
                <w:color w:val="auto"/>
                <w:sz w:val="24"/>
                <w:highlight w:val="none"/>
              </w:rPr>
            </w:pPr>
          </w:p>
        </w:tc>
        <w:tc>
          <w:tcPr>
            <w:tcW w:w="785" w:type="dxa"/>
            <w:vAlign w:val="center"/>
          </w:tcPr>
          <w:p w14:paraId="7DD844ED">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电话</w:t>
            </w:r>
          </w:p>
        </w:tc>
        <w:tc>
          <w:tcPr>
            <w:tcW w:w="1569" w:type="dxa"/>
            <w:vAlign w:val="center"/>
          </w:tcPr>
          <w:p w14:paraId="7F12830F">
            <w:pPr>
              <w:jc w:val="center"/>
              <w:rPr>
                <w:rFonts w:hint="eastAsia" w:ascii="宋体" w:hAnsi="宋体" w:eastAsia="宋体" w:cs="宋体"/>
                <w:color w:val="auto"/>
                <w:sz w:val="24"/>
                <w:highlight w:val="none"/>
              </w:rPr>
            </w:pPr>
          </w:p>
        </w:tc>
      </w:tr>
      <w:tr w14:paraId="6F030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76" w:type="dxa"/>
            <w:vAlign w:val="center"/>
          </w:tcPr>
          <w:p w14:paraId="31E65FC9">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技术负责人</w:t>
            </w:r>
          </w:p>
        </w:tc>
        <w:tc>
          <w:tcPr>
            <w:tcW w:w="972" w:type="dxa"/>
            <w:vAlign w:val="center"/>
          </w:tcPr>
          <w:p w14:paraId="01B72D8A">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姓名</w:t>
            </w:r>
          </w:p>
        </w:tc>
        <w:tc>
          <w:tcPr>
            <w:tcW w:w="1315" w:type="dxa"/>
            <w:vAlign w:val="center"/>
          </w:tcPr>
          <w:p w14:paraId="4B271CD8">
            <w:pPr>
              <w:jc w:val="center"/>
              <w:rPr>
                <w:rFonts w:hint="eastAsia" w:ascii="宋体" w:hAnsi="宋体" w:eastAsia="宋体" w:cs="宋体"/>
                <w:color w:val="auto"/>
                <w:sz w:val="24"/>
                <w:highlight w:val="none"/>
              </w:rPr>
            </w:pPr>
          </w:p>
        </w:tc>
        <w:tc>
          <w:tcPr>
            <w:tcW w:w="1336" w:type="dxa"/>
            <w:vAlign w:val="center"/>
          </w:tcPr>
          <w:p w14:paraId="07E10DC9">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技术职称</w:t>
            </w:r>
          </w:p>
        </w:tc>
        <w:tc>
          <w:tcPr>
            <w:tcW w:w="1668" w:type="dxa"/>
            <w:gridSpan w:val="2"/>
            <w:vAlign w:val="center"/>
          </w:tcPr>
          <w:p w14:paraId="26CE5A9C">
            <w:pPr>
              <w:jc w:val="center"/>
              <w:rPr>
                <w:rFonts w:hint="eastAsia" w:ascii="宋体" w:hAnsi="宋体" w:eastAsia="宋体" w:cs="宋体"/>
                <w:color w:val="auto"/>
                <w:sz w:val="24"/>
                <w:highlight w:val="none"/>
              </w:rPr>
            </w:pPr>
          </w:p>
        </w:tc>
        <w:tc>
          <w:tcPr>
            <w:tcW w:w="785" w:type="dxa"/>
            <w:vAlign w:val="center"/>
          </w:tcPr>
          <w:p w14:paraId="10DEB033">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电话</w:t>
            </w:r>
          </w:p>
        </w:tc>
        <w:tc>
          <w:tcPr>
            <w:tcW w:w="1569" w:type="dxa"/>
            <w:vAlign w:val="center"/>
          </w:tcPr>
          <w:p w14:paraId="3D1151EE">
            <w:pPr>
              <w:jc w:val="center"/>
              <w:rPr>
                <w:rFonts w:hint="eastAsia" w:ascii="宋体" w:hAnsi="宋体" w:eastAsia="宋体" w:cs="宋体"/>
                <w:color w:val="auto"/>
                <w:sz w:val="24"/>
                <w:highlight w:val="none"/>
              </w:rPr>
            </w:pPr>
          </w:p>
        </w:tc>
      </w:tr>
      <w:tr w14:paraId="08BD6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76" w:type="dxa"/>
            <w:vAlign w:val="center"/>
          </w:tcPr>
          <w:p w14:paraId="2AA6D291">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成立时间</w:t>
            </w:r>
          </w:p>
        </w:tc>
        <w:tc>
          <w:tcPr>
            <w:tcW w:w="2287" w:type="dxa"/>
            <w:gridSpan w:val="2"/>
            <w:vAlign w:val="center"/>
          </w:tcPr>
          <w:p w14:paraId="0903C7BE">
            <w:pPr>
              <w:jc w:val="center"/>
              <w:rPr>
                <w:rFonts w:hint="eastAsia" w:ascii="宋体" w:hAnsi="宋体" w:eastAsia="宋体" w:cs="宋体"/>
                <w:color w:val="auto"/>
                <w:sz w:val="24"/>
                <w:highlight w:val="none"/>
              </w:rPr>
            </w:pPr>
          </w:p>
        </w:tc>
        <w:tc>
          <w:tcPr>
            <w:tcW w:w="5358" w:type="dxa"/>
            <w:gridSpan w:val="5"/>
            <w:vAlign w:val="center"/>
          </w:tcPr>
          <w:p w14:paraId="65BEEE1A">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员工总人数：</w:t>
            </w:r>
          </w:p>
        </w:tc>
      </w:tr>
      <w:tr w14:paraId="12036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jc w:val="center"/>
        </w:trPr>
        <w:tc>
          <w:tcPr>
            <w:tcW w:w="1776" w:type="dxa"/>
            <w:vAlign w:val="center"/>
          </w:tcPr>
          <w:p w14:paraId="7358C016">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企业资质等级</w:t>
            </w:r>
          </w:p>
        </w:tc>
        <w:tc>
          <w:tcPr>
            <w:tcW w:w="7645" w:type="dxa"/>
            <w:gridSpan w:val="7"/>
            <w:vAlign w:val="center"/>
          </w:tcPr>
          <w:p w14:paraId="2253C1C5">
            <w:pPr>
              <w:jc w:val="center"/>
              <w:rPr>
                <w:rFonts w:hint="eastAsia" w:ascii="宋体" w:hAnsi="宋体" w:eastAsia="宋体" w:cs="宋体"/>
                <w:color w:val="auto"/>
                <w:sz w:val="24"/>
                <w:highlight w:val="none"/>
              </w:rPr>
            </w:pPr>
          </w:p>
        </w:tc>
      </w:tr>
      <w:tr w14:paraId="0757E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76" w:type="dxa"/>
            <w:vAlign w:val="center"/>
          </w:tcPr>
          <w:p w14:paraId="48731D76">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营业执照号</w:t>
            </w:r>
          </w:p>
        </w:tc>
        <w:tc>
          <w:tcPr>
            <w:tcW w:w="7645" w:type="dxa"/>
            <w:gridSpan w:val="7"/>
            <w:vAlign w:val="center"/>
          </w:tcPr>
          <w:p w14:paraId="15FF8E1F">
            <w:pPr>
              <w:jc w:val="center"/>
              <w:rPr>
                <w:rFonts w:hint="eastAsia" w:ascii="宋体" w:hAnsi="宋体" w:eastAsia="宋体" w:cs="宋体"/>
                <w:color w:val="auto"/>
                <w:sz w:val="24"/>
                <w:highlight w:val="none"/>
              </w:rPr>
            </w:pPr>
          </w:p>
        </w:tc>
      </w:tr>
      <w:tr w14:paraId="570C8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76" w:type="dxa"/>
            <w:vAlign w:val="center"/>
          </w:tcPr>
          <w:p w14:paraId="09D71CDC">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注册资金</w:t>
            </w:r>
          </w:p>
        </w:tc>
        <w:tc>
          <w:tcPr>
            <w:tcW w:w="7645" w:type="dxa"/>
            <w:gridSpan w:val="7"/>
            <w:vAlign w:val="center"/>
          </w:tcPr>
          <w:p w14:paraId="0AEBF8E7">
            <w:pPr>
              <w:jc w:val="center"/>
              <w:rPr>
                <w:rFonts w:hint="eastAsia" w:ascii="宋体" w:hAnsi="宋体" w:eastAsia="宋体" w:cs="宋体"/>
                <w:color w:val="auto"/>
                <w:sz w:val="24"/>
                <w:highlight w:val="none"/>
              </w:rPr>
            </w:pPr>
          </w:p>
        </w:tc>
      </w:tr>
      <w:tr w14:paraId="7CA07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76" w:type="dxa"/>
            <w:vAlign w:val="center"/>
          </w:tcPr>
          <w:p w14:paraId="09335ED9">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开户银行</w:t>
            </w:r>
          </w:p>
        </w:tc>
        <w:tc>
          <w:tcPr>
            <w:tcW w:w="7645" w:type="dxa"/>
            <w:gridSpan w:val="7"/>
            <w:vAlign w:val="center"/>
          </w:tcPr>
          <w:p w14:paraId="35EFDA95">
            <w:pPr>
              <w:jc w:val="center"/>
              <w:rPr>
                <w:rFonts w:hint="eastAsia" w:ascii="宋体" w:hAnsi="宋体" w:eastAsia="宋体" w:cs="宋体"/>
                <w:color w:val="auto"/>
                <w:sz w:val="24"/>
                <w:highlight w:val="none"/>
              </w:rPr>
            </w:pPr>
          </w:p>
        </w:tc>
      </w:tr>
      <w:tr w14:paraId="64B8A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76" w:type="dxa"/>
            <w:vAlign w:val="center"/>
          </w:tcPr>
          <w:p w14:paraId="0F5FC2A8">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账号</w:t>
            </w:r>
          </w:p>
        </w:tc>
        <w:tc>
          <w:tcPr>
            <w:tcW w:w="7645" w:type="dxa"/>
            <w:gridSpan w:val="7"/>
            <w:vAlign w:val="center"/>
          </w:tcPr>
          <w:p w14:paraId="64E2A46F">
            <w:pPr>
              <w:jc w:val="center"/>
              <w:rPr>
                <w:rFonts w:hint="eastAsia" w:ascii="宋体" w:hAnsi="宋体" w:eastAsia="宋体" w:cs="宋体"/>
                <w:color w:val="auto"/>
                <w:sz w:val="24"/>
                <w:highlight w:val="none"/>
              </w:rPr>
            </w:pPr>
          </w:p>
        </w:tc>
      </w:tr>
      <w:tr w14:paraId="68C81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8" w:hRule="atLeast"/>
          <w:jc w:val="center"/>
        </w:trPr>
        <w:tc>
          <w:tcPr>
            <w:tcW w:w="1776" w:type="dxa"/>
            <w:vAlign w:val="center"/>
          </w:tcPr>
          <w:p w14:paraId="1D218073">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经营范围</w:t>
            </w:r>
          </w:p>
        </w:tc>
        <w:tc>
          <w:tcPr>
            <w:tcW w:w="7645" w:type="dxa"/>
            <w:gridSpan w:val="7"/>
            <w:vAlign w:val="center"/>
          </w:tcPr>
          <w:p w14:paraId="250ADC49">
            <w:pPr>
              <w:jc w:val="center"/>
              <w:rPr>
                <w:rFonts w:hint="eastAsia" w:ascii="宋体" w:hAnsi="宋体" w:eastAsia="宋体" w:cs="宋体"/>
                <w:color w:val="auto"/>
                <w:sz w:val="24"/>
                <w:highlight w:val="none"/>
              </w:rPr>
            </w:pPr>
          </w:p>
        </w:tc>
      </w:tr>
      <w:tr w14:paraId="4C160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776" w:type="dxa"/>
            <w:vAlign w:val="center"/>
          </w:tcPr>
          <w:p w14:paraId="04B53E3F">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备注</w:t>
            </w:r>
          </w:p>
        </w:tc>
        <w:tc>
          <w:tcPr>
            <w:tcW w:w="7645" w:type="dxa"/>
            <w:gridSpan w:val="7"/>
            <w:vAlign w:val="center"/>
          </w:tcPr>
          <w:p w14:paraId="3AC51442">
            <w:pPr>
              <w:jc w:val="center"/>
              <w:rPr>
                <w:rFonts w:hint="eastAsia" w:ascii="宋体" w:hAnsi="宋体" w:eastAsia="宋体" w:cs="宋体"/>
                <w:color w:val="auto"/>
                <w:sz w:val="24"/>
                <w:highlight w:val="none"/>
              </w:rPr>
            </w:pPr>
          </w:p>
        </w:tc>
      </w:tr>
    </w:tbl>
    <w:p w14:paraId="0BB9F13A">
      <w:pPr>
        <w:spacing w:line="360" w:lineRule="auto"/>
        <w:jc w:val="center"/>
        <w:outlineLvl w:val="2"/>
        <w:rPr>
          <w:rFonts w:hint="eastAsia" w:ascii="宋体" w:hAnsi="宋体" w:eastAsia="宋体" w:cs="宋体"/>
          <w:b/>
          <w:bCs/>
          <w:color w:val="auto"/>
          <w:sz w:val="32"/>
          <w:szCs w:val="32"/>
          <w:highlight w:val="none"/>
        </w:rPr>
      </w:pPr>
      <w:r>
        <w:rPr>
          <w:rFonts w:hint="eastAsia" w:ascii="宋体" w:hAnsi="宋体" w:eastAsia="宋体" w:cs="宋体"/>
          <w:color w:val="auto"/>
          <w:szCs w:val="28"/>
          <w:highlight w:val="none"/>
        </w:rPr>
        <w:br w:type="page"/>
      </w:r>
      <w:bookmarkStart w:id="288" w:name="_Toc11021"/>
      <w:bookmarkStart w:id="289" w:name="_Toc17640"/>
      <w:bookmarkStart w:id="290" w:name="_Toc20317"/>
      <w:bookmarkStart w:id="291" w:name="_Toc7995"/>
      <w:bookmarkStart w:id="292" w:name="_Toc28408"/>
      <w:bookmarkStart w:id="293" w:name="_Toc8605"/>
      <w:bookmarkStart w:id="294" w:name="_Toc5271"/>
      <w:r>
        <w:rPr>
          <w:rStyle w:val="136"/>
          <w:rFonts w:hint="eastAsia" w:ascii="宋体" w:hAnsi="宋体" w:eastAsia="宋体" w:cs="宋体"/>
          <w:color w:val="auto"/>
          <w:sz w:val="28"/>
          <w:szCs w:val="28"/>
          <w:highlight w:val="none"/>
        </w:rPr>
        <w:t>（二）投标人的资格要求</w:t>
      </w:r>
      <w:bookmarkEnd w:id="288"/>
      <w:bookmarkEnd w:id="289"/>
      <w:bookmarkEnd w:id="290"/>
      <w:bookmarkEnd w:id="291"/>
      <w:bookmarkEnd w:id="292"/>
      <w:bookmarkEnd w:id="293"/>
    </w:p>
    <w:p w14:paraId="229824FE">
      <w:pPr>
        <w:spacing w:line="360" w:lineRule="auto"/>
        <w:jc w:val="center"/>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（此章节格式自拟）</w:t>
      </w:r>
      <w:bookmarkEnd w:id="294"/>
    </w:p>
    <w:p w14:paraId="2675CE2C">
      <w:pPr>
        <w:spacing w:line="480" w:lineRule="exact"/>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1.满足《中华人民共和国政府采购法》第二十二条规定，提供下列资料：</w:t>
      </w:r>
    </w:p>
    <w:p w14:paraId="4EF8A3DB">
      <w:pPr>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1.1</w:t>
      </w:r>
      <w:r>
        <w:rPr>
          <w:rFonts w:hint="eastAsia" w:ascii="宋体" w:hAnsi="宋体" w:eastAsia="宋体" w:cs="宋体"/>
          <w:color w:val="auto"/>
          <w:sz w:val="24"/>
          <w:szCs w:val="21"/>
          <w:highlight w:val="none"/>
        </w:rPr>
        <w:t>具有独立承担民事责任的能力（提供有效的营业执照或其他组织证明或自然人身份证明）；</w:t>
      </w:r>
    </w:p>
    <w:p w14:paraId="371C953D">
      <w:pPr>
        <w:spacing w:line="360" w:lineRule="auto"/>
        <w:rPr>
          <w:rFonts w:hint="eastAsia" w:ascii="宋体" w:hAnsi="宋体" w:eastAsia="宋体" w:cs="宋体"/>
          <w:color w:val="auto"/>
          <w:kern w:val="0"/>
          <w:sz w:val="24"/>
          <w:highlight w:val="none"/>
        </w:rPr>
      </w:pPr>
    </w:p>
    <w:p w14:paraId="379D1E8F">
      <w:pPr>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1.2</w:t>
      </w:r>
      <w:r>
        <w:rPr>
          <w:rFonts w:hint="eastAsia" w:ascii="宋体" w:hAnsi="宋体" w:eastAsia="宋体" w:cs="宋体"/>
          <w:color w:val="auto"/>
          <w:sz w:val="24"/>
          <w:szCs w:val="21"/>
          <w:highlight w:val="none"/>
        </w:rPr>
        <w:t>具有良好的商业信誉和健全的财务会计制度（提供202</w:t>
      </w:r>
      <w:r>
        <w:rPr>
          <w:rFonts w:hint="eastAsia" w:ascii="宋体" w:hAnsi="宋体" w:eastAsia="宋体" w:cs="宋体"/>
          <w:color w:val="auto"/>
          <w:sz w:val="24"/>
          <w:szCs w:val="21"/>
          <w:highlight w:val="none"/>
          <w:lang w:val="en-US" w:eastAsia="zh-CN"/>
        </w:rPr>
        <w:t>3</w:t>
      </w:r>
      <w:r>
        <w:rPr>
          <w:rFonts w:hint="eastAsia" w:ascii="宋体" w:hAnsi="宋体" w:eastAsia="宋体" w:cs="宋体"/>
          <w:color w:val="auto"/>
          <w:sz w:val="24"/>
          <w:szCs w:val="21"/>
          <w:highlight w:val="none"/>
        </w:rPr>
        <w:t>年至今任意一年的财务报表或经第三方审计的财务报告（包括资产负债表、现金流量表、利润表或损益表及会计报表附注），新成立的提供成立至本项目公告发布前一个月的财务报表或开户银行出具的资信证明或资金存款证明）；</w:t>
      </w:r>
    </w:p>
    <w:p w14:paraId="5B4456F3">
      <w:pPr>
        <w:spacing w:line="360" w:lineRule="auto"/>
        <w:rPr>
          <w:rFonts w:hint="eastAsia" w:ascii="宋体" w:hAnsi="宋体" w:eastAsia="宋体" w:cs="宋体"/>
          <w:color w:val="auto"/>
          <w:kern w:val="0"/>
          <w:sz w:val="24"/>
          <w:highlight w:val="none"/>
        </w:rPr>
      </w:pPr>
    </w:p>
    <w:p w14:paraId="0254EB9C">
      <w:pPr>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1.3</w:t>
      </w:r>
      <w:r>
        <w:rPr>
          <w:rFonts w:hint="eastAsia" w:ascii="宋体" w:hAnsi="宋体" w:eastAsia="宋体" w:cs="宋体"/>
          <w:color w:val="auto"/>
          <w:sz w:val="24"/>
          <w:szCs w:val="21"/>
          <w:highlight w:val="none"/>
        </w:rPr>
        <w:t>具有履行合同所必需的设备和专业技术能力（提供相关证明材料或承诺）；</w:t>
      </w:r>
    </w:p>
    <w:p w14:paraId="7331BD89">
      <w:pPr>
        <w:spacing w:line="360" w:lineRule="auto"/>
        <w:rPr>
          <w:rFonts w:hint="eastAsia" w:ascii="宋体" w:hAnsi="宋体" w:eastAsia="宋体" w:cs="宋体"/>
          <w:color w:val="auto"/>
          <w:kern w:val="0"/>
          <w:sz w:val="24"/>
          <w:highlight w:val="none"/>
        </w:rPr>
      </w:pPr>
    </w:p>
    <w:p w14:paraId="72548672">
      <w:pPr>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1.4</w:t>
      </w:r>
      <w:r>
        <w:rPr>
          <w:rFonts w:hint="eastAsia" w:ascii="宋体" w:hAnsi="宋体" w:eastAsia="宋体" w:cs="宋体"/>
          <w:color w:val="auto"/>
          <w:sz w:val="24"/>
          <w:szCs w:val="21"/>
          <w:highlight w:val="none"/>
        </w:rPr>
        <w:t>有依法缴纳税收和社会保障资金的良好记录（提供202</w:t>
      </w:r>
      <w:r>
        <w:rPr>
          <w:rFonts w:hint="eastAsia" w:ascii="宋体" w:hAnsi="宋体" w:eastAsia="宋体" w:cs="宋体"/>
          <w:color w:val="auto"/>
          <w:sz w:val="24"/>
          <w:szCs w:val="21"/>
          <w:highlight w:val="none"/>
          <w:lang w:val="en-US" w:eastAsia="zh-CN"/>
        </w:rPr>
        <w:t>5</w:t>
      </w:r>
      <w:r>
        <w:rPr>
          <w:rFonts w:hint="eastAsia" w:ascii="宋体" w:hAnsi="宋体" w:eastAsia="宋体" w:cs="宋体"/>
          <w:color w:val="auto"/>
          <w:sz w:val="24"/>
          <w:szCs w:val="21"/>
          <w:highlight w:val="none"/>
        </w:rPr>
        <w:t>年6月至采购截止时间前任意3个月依法缴纳税收和缴纳社会保障资金的证明（新成立公司提供已有资料，如依法免税或不需要缴纳社会保障资金的，应提供相应文件证明）；</w:t>
      </w:r>
    </w:p>
    <w:p w14:paraId="5E1463A0">
      <w:pPr>
        <w:spacing w:line="360" w:lineRule="auto"/>
        <w:rPr>
          <w:rFonts w:hint="eastAsia" w:ascii="宋体" w:hAnsi="宋体" w:eastAsia="宋体" w:cs="宋体"/>
          <w:color w:val="auto"/>
          <w:kern w:val="0"/>
          <w:sz w:val="24"/>
          <w:highlight w:val="none"/>
        </w:rPr>
      </w:pPr>
    </w:p>
    <w:p w14:paraId="4AB22D1E">
      <w:pPr>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1.5</w:t>
      </w:r>
      <w:r>
        <w:rPr>
          <w:rFonts w:hint="eastAsia" w:ascii="宋体" w:hAnsi="宋体" w:eastAsia="宋体" w:cs="宋体"/>
          <w:color w:val="auto"/>
          <w:sz w:val="24"/>
          <w:szCs w:val="21"/>
          <w:highlight w:val="none"/>
        </w:rPr>
        <w:t>参加政府采购活动前三年内，在经营活动中没有重大违法记录（提供书面声明）；</w:t>
      </w:r>
    </w:p>
    <w:p w14:paraId="07716F65">
      <w:pPr>
        <w:spacing w:line="360" w:lineRule="auto"/>
        <w:rPr>
          <w:rFonts w:hint="eastAsia" w:ascii="宋体" w:hAnsi="宋体" w:eastAsia="宋体" w:cs="宋体"/>
          <w:color w:val="auto"/>
          <w:kern w:val="0"/>
          <w:sz w:val="24"/>
          <w:highlight w:val="none"/>
        </w:rPr>
      </w:pPr>
    </w:p>
    <w:p w14:paraId="7ACE554C">
      <w:pPr>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1.6法律、行政法规规定的其他条件。</w:t>
      </w:r>
    </w:p>
    <w:p w14:paraId="74299A5F">
      <w:pPr>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单位负责人为同一人或者存在直接控股、管理关系的不同投标人，不得参加同一合同项下的政府采购活动。为采购项目提供整体设计、规范编制或者项目管理、监理、检测等服务的投标人，不得再参加该采购项目的其他采购活动。</w:t>
      </w:r>
    </w:p>
    <w:p w14:paraId="1961939C">
      <w:pPr>
        <w:adjustRightInd w:val="0"/>
        <w:snapToGrid w:val="0"/>
        <w:spacing w:line="360" w:lineRule="auto"/>
        <w:rPr>
          <w:rFonts w:hint="eastAsia" w:ascii="宋体" w:hAnsi="宋体" w:eastAsia="宋体" w:cs="宋体"/>
          <w:color w:val="auto"/>
          <w:kern w:val="0"/>
          <w:sz w:val="24"/>
          <w:highlight w:val="none"/>
        </w:rPr>
      </w:pPr>
    </w:p>
    <w:p w14:paraId="4674A521">
      <w:pPr>
        <w:adjustRightInd w:val="0"/>
        <w:snapToGrid w:val="0"/>
        <w:spacing w:line="360" w:lineRule="auto"/>
        <w:rPr>
          <w:rFonts w:hint="eastAsia" w:ascii="宋体" w:hAnsi="宋体" w:eastAsia="宋体" w:cs="宋体"/>
          <w:color w:val="auto"/>
          <w:sz w:val="24"/>
          <w:szCs w:val="21"/>
          <w:highlight w:val="none"/>
        </w:rPr>
      </w:pPr>
      <w:r>
        <w:rPr>
          <w:rFonts w:hint="eastAsia" w:ascii="宋体" w:hAnsi="宋体" w:eastAsia="宋体" w:cs="宋体"/>
          <w:color w:val="auto"/>
          <w:kern w:val="0"/>
          <w:sz w:val="24"/>
          <w:highlight w:val="none"/>
        </w:rPr>
        <w:t>（2）</w:t>
      </w:r>
      <w:r>
        <w:rPr>
          <w:rFonts w:hint="eastAsia" w:ascii="宋体" w:hAnsi="宋体" w:eastAsia="宋体" w:cs="宋体"/>
          <w:color w:val="auto"/>
          <w:sz w:val="24"/>
          <w:szCs w:val="21"/>
          <w:highlight w:val="none"/>
        </w:rPr>
        <w:t>投标人不得被“信用中国”网站（www.creditchina.gov.cn）列入失信被执行人或重大税收违法案件当事人名单、不得为“中国政府采购网”（www.ccgp.gov.cn）政府采购严重违法失信行为记录名单中被财政部门禁止参加政府采购活动的投标人（处罚决定规定的时间和地域范围内）（信誉查询时间截点：本项目采购公告发布之日起至投标文件递交截止时间止。代理机构在投标文件递交截止时间止对潜在投标人信誉情况进行查询，并交由评标委员会进行复核评审）。</w:t>
      </w:r>
    </w:p>
    <w:p w14:paraId="2F75F2DD">
      <w:pPr>
        <w:spacing w:line="360" w:lineRule="auto"/>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2.落实政府采购政策需满足的资格要求：</w:t>
      </w:r>
    </w:p>
    <w:p w14:paraId="3FAF768B">
      <w:pPr>
        <w:pStyle w:val="53"/>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sz w:val="24"/>
          <w:highlight w:val="none"/>
          <w:lang w:val="en-US" w:eastAsia="zh-CN"/>
        </w:rPr>
        <w:t>本项目专门面向中小型企业采购，投标人应为中小企业，或监狱企业，或残疾人福利性单位，本项目不再执行价格评审优惠的扶持政策。根据《关于印发中小企业划型标准规定的通知》（工信部联企业〔2011〕300号）文件规定的划分标准，本项目对应的中小企业划分标准所属行业为：</w:t>
      </w:r>
      <w:r>
        <w:rPr>
          <w:rFonts w:hint="eastAsia" w:ascii="宋体" w:hAnsi="宋体" w:eastAsia="宋体" w:cs="宋体"/>
          <w:color w:val="auto"/>
          <w:sz w:val="24"/>
          <w:highlight w:val="none"/>
          <w:u w:val="single"/>
          <w:lang w:val="en-US" w:eastAsia="zh-CN"/>
        </w:rPr>
        <w:t>软件和信息技术服务业</w:t>
      </w:r>
      <w:r>
        <w:rPr>
          <w:rFonts w:hint="eastAsia" w:ascii="宋体" w:hAnsi="宋体" w:eastAsia="宋体" w:cs="宋体"/>
          <w:color w:val="auto"/>
          <w:sz w:val="24"/>
          <w:highlight w:val="none"/>
          <w:lang w:val="en-US" w:eastAsia="zh-CN"/>
        </w:rPr>
        <w:t>。</w:t>
      </w:r>
      <w:r>
        <w:rPr>
          <w:rFonts w:hint="eastAsia" w:ascii="宋体" w:hAnsi="宋体" w:eastAsia="宋体" w:cs="宋体"/>
          <w:color w:val="auto"/>
          <w:highlight w:val="none"/>
        </w:rPr>
        <w:t>（此章节按附件格式1、格式2、格式3填写）</w:t>
      </w:r>
    </w:p>
    <w:p w14:paraId="520B5DCE">
      <w:pPr>
        <w:pStyle w:val="53"/>
        <w:outlineLvl w:val="9"/>
        <w:rPr>
          <w:rFonts w:hint="eastAsia" w:ascii="宋体" w:hAnsi="宋体" w:eastAsia="宋体" w:cs="宋体"/>
          <w:color w:val="auto"/>
          <w:highlight w:val="none"/>
        </w:rPr>
      </w:pPr>
    </w:p>
    <w:p w14:paraId="6DB571E3">
      <w:pPr>
        <w:spacing w:line="480" w:lineRule="exact"/>
        <w:rPr>
          <w:rFonts w:hint="eastAsia" w:ascii="宋体" w:hAnsi="宋体" w:eastAsia="宋体" w:cs="宋体"/>
          <w:color w:val="auto"/>
          <w:sz w:val="24"/>
          <w:szCs w:val="21"/>
          <w:highlight w:val="none"/>
        </w:rPr>
      </w:pPr>
    </w:p>
    <w:p w14:paraId="1DBDADDC">
      <w:pPr>
        <w:spacing w:line="480" w:lineRule="exact"/>
        <w:rPr>
          <w:rFonts w:hint="eastAsia" w:ascii="宋体" w:hAnsi="宋体" w:eastAsia="宋体" w:cs="宋体"/>
          <w:color w:val="auto"/>
          <w:sz w:val="24"/>
          <w:szCs w:val="21"/>
          <w:highlight w:val="none"/>
        </w:rPr>
      </w:pPr>
    </w:p>
    <w:p w14:paraId="6D847D79">
      <w:pPr>
        <w:spacing w:line="480" w:lineRule="exact"/>
        <w:rPr>
          <w:rFonts w:hint="eastAsia" w:ascii="宋体" w:hAnsi="宋体" w:eastAsia="宋体" w:cs="宋体"/>
          <w:b/>
          <w:bCs/>
          <w:color w:val="auto"/>
          <w:sz w:val="24"/>
          <w:szCs w:val="21"/>
          <w:highlight w:val="none"/>
        </w:rPr>
      </w:pPr>
    </w:p>
    <w:p w14:paraId="3F936F0A">
      <w:pPr>
        <w:spacing w:line="480" w:lineRule="exact"/>
        <w:rPr>
          <w:rFonts w:hint="eastAsia" w:ascii="宋体" w:hAnsi="宋体" w:eastAsia="宋体" w:cs="宋体"/>
          <w:b/>
          <w:bCs/>
          <w:color w:val="auto"/>
          <w:sz w:val="24"/>
          <w:szCs w:val="21"/>
          <w:highlight w:val="none"/>
        </w:rPr>
      </w:pPr>
    </w:p>
    <w:p w14:paraId="5FB400E6">
      <w:pPr>
        <w:rPr>
          <w:rFonts w:hint="eastAsia" w:ascii="宋体" w:hAnsi="宋体" w:eastAsia="宋体" w:cs="宋体"/>
          <w:color w:val="auto"/>
          <w:sz w:val="24"/>
          <w:highlight w:val="none"/>
        </w:rPr>
      </w:pPr>
    </w:p>
    <w:p w14:paraId="56D28686">
      <w:pPr>
        <w:spacing w:line="360" w:lineRule="auto"/>
        <w:rPr>
          <w:rStyle w:val="64"/>
          <w:rFonts w:hint="eastAsia" w:ascii="宋体" w:hAnsi="宋体" w:eastAsia="宋体" w:cs="宋体"/>
          <w:bCs/>
          <w:color w:val="auto"/>
          <w:szCs w:val="28"/>
          <w:highlight w:val="none"/>
        </w:rPr>
      </w:pPr>
      <w:bookmarkStart w:id="295" w:name="_Toc8168214"/>
      <w:bookmarkStart w:id="296" w:name="_Toc89692655"/>
      <w:bookmarkStart w:id="297" w:name="_Toc89692946"/>
      <w:bookmarkStart w:id="298" w:name="_Toc80095558"/>
      <w:bookmarkStart w:id="299" w:name="_Toc22701"/>
      <w:r>
        <w:rPr>
          <w:rFonts w:hint="eastAsia" w:ascii="宋体" w:hAnsi="宋体" w:eastAsia="宋体" w:cs="宋体"/>
          <w:b/>
          <w:bCs/>
          <w:color w:val="auto"/>
          <w:sz w:val="24"/>
          <w:szCs w:val="21"/>
          <w:highlight w:val="none"/>
        </w:rPr>
        <w:br w:type="page"/>
      </w:r>
      <w:bookmarkEnd w:id="295"/>
      <w:bookmarkEnd w:id="296"/>
      <w:bookmarkEnd w:id="297"/>
      <w:bookmarkEnd w:id="298"/>
      <w:bookmarkEnd w:id="299"/>
      <w:bookmarkStart w:id="300" w:name="_Toc2364"/>
      <w:bookmarkStart w:id="301" w:name="_Toc29539"/>
      <w:bookmarkStart w:id="302" w:name="_Toc31866"/>
      <w:r>
        <w:rPr>
          <w:rStyle w:val="64"/>
          <w:rFonts w:hint="eastAsia" w:ascii="宋体" w:hAnsi="宋体" w:eastAsia="宋体" w:cs="宋体"/>
          <w:bCs/>
          <w:color w:val="auto"/>
          <w:szCs w:val="28"/>
          <w:highlight w:val="none"/>
        </w:rPr>
        <w:t>附件</w:t>
      </w:r>
    </w:p>
    <w:bookmarkEnd w:id="300"/>
    <w:bookmarkEnd w:id="301"/>
    <w:bookmarkEnd w:id="302"/>
    <w:p w14:paraId="3696AECC">
      <w:pPr>
        <w:rPr>
          <w:rFonts w:hint="eastAsia" w:ascii="宋体" w:hAnsi="宋体" w:eastAsia="宋体" w:cs="宋体"/>
          <w:color w:val="auto"/>
          <w:sz w:val="24"/>
          <w:highlight w:val="none"/>
        </w:rPr>
      </w:pPr>
      <w:bookmarkStart w:id="303" w:name="_Toc6403"/>
      <w:bookmarkStart w:id="304" w:name="_Toc3320"/>
      <w:r>
        <w:rPr>
          <w:rFonts w:hint="eastAsia" w:ascii="宋体" w:hAnsi="宋体" w:eastAsia="宋体" w:cs="宋体"/>
          <w:b/>
          <w:bCs/>
          <w:color w:val="auto"/>
          <w:sz w:val="24"/>
          <w:highlight w:val="none"/>
        </w:rPr>
        <w:t>格式1：</w:t>
      </w:r>
      <w:bookmarkEnd w:id="303"/>
      <w:bookmarkEnd w:id="304"/>
    </w:p>
    <w:p w14:paraId="3DBDB76B">
      <w:pPr>
        <w:pStyle w:val="15"/>
        <w:spacing w:after="0"/>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中小企业声明函（服务）</w:t>
      </w:r>
    </w:p>
    <w:p w14:paraId="50F99C61">
      <w:pPr>
        <w:spacing w:line="500" w:lineRule="exact"/>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本公司郑重声明，根据《政府采购促进中小企业发展管理办法》(财库(2020)46号)的规定，本公司参加</w:t>
      </w:r>
      <w:r>
        <w:rPr>
          <w:rFonts w:hint="eastAsia" w:ascii="宋体" w:hAnsi="宋体" w:eastAsia="宋体" w:cs="宋体"/>
          <w:color w:val="auto"/>
          <w:kern w:val="0"/>
          <w:sz w:val="24"/>
          <w:highlight w:val="none"/>
          <w:u w:val="single"/>
        </w:rPr>
        <w:t>(单位名称)</w:t>
      </w:r>
      <w:r>
        <w:rPr>
          <w:rFonts w:hint="eastAsia" w:ascii="宋体" w:hAnsi="宋体" w:eastAsia="宋体" w:cs="宋体"/>
          <w:color w:val="auto"/>
          <w:kern w:val="0"/>
          <w:sz w:val="24"/>
          <w:highlight w:val="none"/>
        </w:rPr>
        <w:t>的</w:t>
      </w:r>
      <w:r>
        <w:rPr>
          <w:rFonts w:hint="eastAsia" w:ascii="宋体" w:hAnsi="宋体" w:eastAsia="宋体" w:cs="宋体"/>
          <w:color w:val="auto"/>
          <w:kern w:val="0"/>
          <w:sz w:val="24"/>
          <w:highlight w:val="none"/>
          <w:u w:val="single"/>
        </w:rPr>
        <w:t>(项目名称)</w:t>
      </w:r>
      <w:r>
        <w:rPr>
          <w:rFonts w:hint="eastAsia" w:ascii="宋体" w:hAnsi="宋体" w:eastAsia="宋体" w:cs="宋体"/>
          <w:color w:val="auto"/>
          <w:kern w:val="0"/>
          <w:sz w:val="24"/>
          <w:highlight w:val="none"/>
        </w:rPr>
        <w:t>采购活动，服务全部由符合政策要求的中小企业承接。具体情况如下:</w:t>
      </w:r>
    </w:p>
    <w:p w14:paraId="13161CD1">
      <w:pPr>
        <w:spacing w:line="500" w:lineRule="exact"/>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w:t>
      </w:r>
      <w:r>
        <w:rPr>
          <w:rFonts w:hint="eastAsia" w:ascii="宋体" w:hAnsi="宋体" w:eastAsia="宋体" w:cs="宋体"/>
          <w:color w:val="auto"/>
          <w:kern w:val="0"/>
          <w:sz w:val="24"/>
          <w:highlight w:val="none"/>
          <w:u w:val="single"/>
        </w:rPr>
        <w:t>(标的名称)</w:t>
      </w:r>
      <w:r>
        <w:rPr>
          <w:rFonts w:hint="eastAsia" w:ascii="宋体" w:hAnsi="宋体" w:eastAsia="宋体" w:cs="宋体"/>
          <w:color w:val="auto"/>
          <w:kern w:val="0"/>
          <w:sz w:val="24"/>
          <w:highlight w:val="none"/>
        </w:rPr>
        <w:t>，属于</w:t>
      </w:r>
      <w:r>
        <w:rPr>
          <w:rFonts w:hint="eastAsia" w:ascii="宋体" w:hAnsi="宋体" w:eastAsia="宋体" w:cs="宋体"/>
          <w:color w:val="auto"/>
          <w:kern w:val="0"/>
          <w:sz w:val="24"/>
          <w:highlight w:val="none"/>
          <w:lang w:val="en-US" w:eastAsia="zh-CN"/>
        </w:rPr>
        <w:t>(</w:t>
      </w:r>
      <w:r>
        <w:rPr>
          <w:rFonts w:hint="eastAsia" w:ascii="宋体" w:hAnsi="宋体" w:eastAsia="宋体" w:cs="宋体"/>
          <w:color w:val="auto"/>
          <w:kern w:val="0"/>
          <w:sz w:val="24"/>
          <w:highlight w:val="none"/>
          <w:u w:val="single"/>
          <w:lang w:val="en-US" w:eastAsia="zh-CN"/>
        </w:rPr>
        <w:t>招标</w:t>
      </w:r>
      <w:r>
        <w:rPr>
          <w:rFonts w:hint="eastAsia" w:ascii="宋体" w:hAnsi="宋体" w:eastAsia="宋体" w:cs="宋体"/>
          <w:color w:val="auto"/>
          <w:kern w:val="0"/>
          <w:sz w:val="24"/>
          <w:highlight w:val="none"/>
          <w:u w:val="single"/>
        </w:rPr>
        <w:t>文件中明确的所属行业)</w:t>
      </w:r>
      <w:r>
        <w:rPr>
          <w:rFonts w:hint="eastAsia" w:ascii="宋体" w:hAnsi="宋体" w:eastAsia="宋体" w:cs="宋体"/>
          <w:color w:val="auto"/>
          <w:kern w:val="0"/>
          <w:sz w:val="24"/>
          <w:highlight w:val="none"/>
        </w:rPr>
        <w:t>；承接企业为</w:t>
      </w:r>
      <w:r>
        <w:rPr>
          <w:rFonts w:hint="eastAsia" w:ascii="宋体" w:hAnsi="宋体" w:eastAsia="宋体" w:cs="宋体"/>
          <w:color w:val="auto"/>
          <w:kern w:val="0"/>
          <w:sz w:val="24"/>
          <w:highlight w:val="none"/>
          <w:u w:val="single"/>
        </w:rPr>
        <w:t>(企业名称)</w:t>
      </w:r>
      <w:r>
        <w:rPr>
          <w:rFonts w:hint="eastAsia" w:ascii="宋体" w:hAnsi="宋体" w:eastAsia="宋体" w:cs="宋体"/>
          <w:color w:val="auto"/>
          <w:kern w:val="0"/>
          <w:sz w:val="24"/>
          <w:highlight w:val="none"/>
        </w:rPr>
        <w:t>，从业人员</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人，营业收入为</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万元，资产总额为</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万元，属于(</w:t>
      </w:r>
      <w:r>
        <w:rPr>
          <w:rFonts w:hint="eastAsia" w:ascii="宋体" w:hAnsi="宋体" w:eastAsia="宋体" w:cs="宋体"/>
          <w:color w:val="auto"/>
          <w:kern w:val="0"/>
          <w:sz w:val="24"/>
          <w:highlight w:val="none"/>
          <w:u w:val="single"/>
        </w:rPr>
        <w:t>中型企业、小型企业、微型企业</w:t>
      </w:r>
      <w:r>
        <w:rPr>
          <w:rFonts w:hint="eastAsia" w:ascii="宋体" w:hAnsi="宋体" w:eastAsia="宋体" w:cs="宋体"/>
          <w:color w:val="auto"/>
          <w:kern w:val="0"/>
          <w:sz w:val="24"/>
          <w:highlight w:val="none"/>
        </w:rPr>
        <w:t>)；</w:t>
      </w:r>
    </w:p>
    <w:p w14:paraId="651BBB0A">
      <w:pPr>
        <w:spacing w:line="500" w:lineRule="exact"/>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w:t>
      </w:r>
      <w:r>
        <w:rPr>
          <w:rFonts w:hint="eastAsia" w:ascii="宋体" w:hAnsi="宋体" w:eastAsia="宋体" w:cs="宋体"/>
          <w:color w:val="auto"/>
          <w:kern w:val="0"/>
          <w:sz w:val="24"/>
          <w:highlight w:val="none"/>
          <w:u w:val="single"/>
        </w:rPr>
        <w:t>(标的名称)</w:t>
      </w:r>
      <w:r>
        <w:rPr>
          <w:rFonts w:hint="eastAsia" w:ascii="宋体" w:hAnsi="宋体" w:eastAsia="宋体" w:cs="宋体"/>
          <w:color w:val="auto"/>
          <w:kern w:val="0"/>
          <w:sz w:val="24"/>
          <w:highlight w:val="none"/>
        </w:rPr>
        <w:t>，属于</w:t>
      </w:r>
      <w:r>
        <w:rPr>
          <w:rFonts w:hint="eastAsia" w:ascii="宋体" w:hAnsi="宋体" w:eastAsia="宋体" w:cs="宋体"/>
          <w:color w:val="auto"/>
          <w:kern w:val="0"/>
          <w:sz w:val="24"/>
          <w:highlight w:val="none"/>
          <w:u w:val="single"/>
        </w:rPr>
        <w:t>(</w:t>
      </w:r>
      <w:r>
        <w:rPr>
          <w:rFonts w:hint="eastAsia" w:ascii="宋体" w:hAnsi="宋体" w:eastAsia="宋体" w:cs="宋体"/>
          <w:color w:val="auto"/>
          <w:kern w:val="0"/>
          <w:sz w:val="24"/>
          <w:highlight w:val="none"/>
          <w:u w:val="single"/>
          <w:lang w:val="en-US" w:eastAsia="zh-CN"/>
        </w:rPr>
        <w:t>招标</w:t>
      </w:r>
      <w:r>
        <w:rPr>
          <w:rFonts w:hint="eastAsia" w:ascii="宋体" w:hAnsi="宋体" w:eastAsia="宋体" w:cs="宋体"/>
          <w:color w:val="auto"/>
          <w:kern w:val="0"/>
          <w:sz w:val="24"/>
          <w:highlight w:val="none"/>
          <w:u w:val="single"/>
        </w:rPr>
        <w:t>文件中明确的所属行业)</w:t>
      </w:r>
      <w:r>
        <w:rPr>
          <w:rFonts w:hint="eastAsia" w:ascii="宋体" w:hAnsi="宋体" w:eastAsia="宋体" w:cs="宋体"/>
          <w:color w:val="auto"/>
          <w:kern w:val="0"/>
          <w:sz w:val="24"/>
          <w:highlight w:val="none"/>
        </w:rPr>
        <w:t>；承接企业为</w:t>
      </w:r>
      <w:r>
        <w:rPr>
          <w:rFonts w:hint="eastAsia" w:ascii="宋体" w:hAnsi="宋体" w:eastAsia="宋体" w:cs="宋体"/>
          <w:color w:val="auto"/>
          <w:kern w:val="0"/>
          <w:sz w:val="24"/>
          <w:highlight w:val="none"/>
          <w:u w:val="single"/>
        </w:rPr>
        <w:t>(企业名称)</w:t>
      </w:r>
      <w:r>
        <w:rPr>
          <w:rFonts w:hint="eastAsia" w:ascii="宋体" w:hAnsi="宋体" w:eastAsia="宋体" w:cs="宋体"/>
          <w:color w:val="auto"/>
          <w:kern w:val="0"/>
          <w:sz w:val="24"/>
          <w:highlight w:val="none"/>
        </w:rPr>
        <w:t>，从业人员</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人，营业收入为</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万元，资产总额为</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万元，属于(</w:t>
      </w:r>
      <w:r>
        <w:rPr>
          <w:rFonts w:hint="eastAsia" w:ascii="宋体" w:hAnsi="宋体" w:eastAsia="宋体" w:cs="宋体"/>
          <w:color w:val="auto"/>
          <w:kern w:val="0"/>
          <w:sz w:val="24"/>
          <w:highlight w:val="none"/>
          <w:u w:val="single"/>
        </w:rPr>
        <w:t>中型企业、小型企业、微型企业</w:t>
      </w:r>
      <w:r>
        <w:rPr>
          <w:rFonts w:hint="eastAsia" w:ascii="宋体" w:hAnsi="宋体" w:eastAsia="宋体" w:cs="宋体"/>
          <w:color w:val="auto"/>
          <w:kern w:val="0"/>
          <w:sz w:val="24"/>
          <w:highlight w:val="none"/>
        </w:rPr>
        <w:t>)；</w:t>
      </w:r>
    </w:p>
    <w:p w14:paraId="41DE1248">
      <w:pPr>
        <w:spacing w:line="500" w:lineRule="exact"/>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w:t>
      </w:r>
    </w:p>
    <w:p w14:paraId="07E1F626">
      <w:pPr>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以上企业，不属于大企业的分支机构，不存在控股股东为大企业的情形，也不存在与大企业的负责人为同一人的情形。</w:t>
      </w:r>
    </w:p>
    <w:p w14:paraId="0A496D43">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color w:val="auto"/>
          <w:kern w:val="0"/>
          <w:sz w:val="24"/>
          <w:highlight w:val="none"/>
        </w:rPr>
        <w:t>本企业对上述声明内容的真实性负责。如有虚假，将依法承担相应责任</w:t>
      </w:r>
      <w:r>
        <w:rPr>
          <w:rFonts w:hint="eastAsia" w:ascii="宋体" w:hAnsi="宋体" w:eastAsia="宋体" w:cs="宋体"/>
          <w:bCs/>
          <w:color w:val="auto"/>
          <w:sz w:val="24"/>
          <w:highlight w:val="none"/>
        </w:rPr>
        <w:t xml:space="preserve">。 </w:t>
      </w:r>
    </w:p>
    <w:p w14:paraId="2D2EFC30">
      <w:pPr>
        <w:spacing w:line="360" w:lineRule="auto"/>
        <w:ind w:firstLine="480" w:firstLineChars="200"/>
        <w:rPr>
          <w:rFonts w:hint="eastAsia" w:ascii="宋体" w:hAnsi="宋体" w:eastAsia="宋体" w:cs="宋体"/>
          <w:color w:val="auto"/>
          <w:sz w:val="24"/>
          <w:highlight w:val="none"/>
        </w:rPr>
      </w:pPr>
    </w:p>
    <w:p w14:paraId="7A3D62EA">
      <w:pPr>
        <w:spacing w:line="360" w:lineRule="auto"/>
        <w:ind w:firstLine="480" w:firstLineChars="200"/>
        <w:jc w:val="left"/>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企业名称（电子签章）：</w:t>
      </w:r>
      <w:r>
        <w:rPr>
          <w:rFonts w:hint="eastAsia" w:ascii="宋体" w:hAnsi="宋体" w:eastAsia="宋体" w:cs="宋体"/>
          <w:bCs/>
          <w:color w:val="auto"/>
          <w:sz w:val="24"/>
          <w:highlight w:val="none"/>
          <w:u w:val="single"/>
        </w:rPr>
        <w:t xml:space="preserve">            </w:t>
      </w:r>
    </w:p>
    <w:p w14:paraId="27E91878">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日期：</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年</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月</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日</w:t>
      </w:r>
    </w:p>
    <w:p w14:paraId="24DAC24D">
      <w:pPr>
        <w:spacing w:line="360" w:lineRule="auto"/>
        <w:ind w:firstLine="420" w:firstLineChars="200"/>
        <w:rPr>
          <w:rFonts w:hint="eastAsia" w:ascii="宋体" w:hAnsi="宋体" w:eastAsia="宋体" w:cs="宋体"/>
          <w:color w:val="auto"/>
          <w:szCs w:val="21"/>
          <w:highlight w:val="none"/>
        </w:rPr>
      </w:pPr>
    </w:p>
    <w:p w14:paraId="407589C6">
      <w:pPr>
        <w:autoSpaceDE w:val="0"/>
        <w:autoSpaceDN w:val="0"/>
        <w:adjustRightInd w:val="0"/>
        <w:rPr>
          <w:rFonts w:hint="eastAsia" w:ascii="宋体" w:hAnsi="宋体" w:eastAsia="宋体" w:cs="宋体"/>
          <w:b/>
          <w:bCs/>
          <w:color w:val="auto"/>
          <w:szCs w:val="21"/>
          <w:highlight w:val="none"/>
        </w:rPr>
      </w:pPr>
      <w:r>
        <w:rPr>
          <w:rFonts w:hint="eastAsia" w:ascii="宋体" w:hAnsi="宋体" w:eastAsia="宋体" w:cs="宋体"/>
          <w:color w:val="auto"/>
          <w:szCs w:val="21"/>
          <w:highlight w:val="none"/>
        </w:rPr>
        <w:t>注：</w:t>
      </w:r>
      <w:r>
        <w:rPr>
          <w:rFonts w:hint="eastAsia" w:ascii="宋体" w:hAnsi="宋体" w:eastAsia="宋体" w:cs="宋体"/>
          <w:b/>
          <w:bCs/>
          <w:color w:val="auto"/>
          <w:szCs w:val="21"/>
          <w:highlight w:val="none"/>
        </w:rPr>
        <w:t>1、货物承接企业全部为小微型企业时，投标人应当出具《中小企业声明函》，否则不得享</w:t>
      </w:r>
    </w:p>
    <w:p w14:paraId="6CAE48F8">
      <w:pPr>
        <w:autoSpaceDE w:val="0"/>
        <w:autoSpaceDN w:val="0"/>
        <w:adjustRightInd w:val="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受相关小微企业扶持政策(详见</w:t>
      </w:r>
      <w:r>
        <w:rPr>
          <w:rFonts w:hint="eastAsia" w:ascii="宋体" w:hAnsi="宋体" w:eastAsia="宋体" w:cs="宋体"/>
          <w:b/>
          <w:bCs/>
          <w:color w:val="auto"/>
          <w:szCs w:val="21"/>
          <w:highlight w:val="none"/>
          <w:lang w:val="en-US" w:eastAsia="zh-CN"/>
        </w:rPr>
        <w:t>招标</w:t>
      </w:r>
      <w:r>
        <w:rPr>
          <w:rFonts w:hint="eastAsia" w:ascii="宋体" w:hAnsi="宋体" w:eastAsia="宋体" w:cs="宋体"/>
          <w:b/>
          <w:bCs/>
          <w:color w:val="auto"/>
          <w:szCs w:val="21"/>
          <w:highlight w:val="none"/>
        </w:rPr>
        <w:t>文件第二章第</w:t>
      </w:r>
      <w:r>
        <w:rPr>
          <w:rFonts w:hint="eastAsia" w:ascii="宋体" w:hAnsi="宋体" w:eastAsia="宋体" w:cs="宋体"/>
          <w:b/>
          <w:bCs/>
          <w:color w:val="auto"/>
          <w:szCs w:val="21"/>
          <w:highlight w:val="none"/>
          <w:lang w:val="en-US" w:eastAsia="zh-CN"/>
        </w:rPr>
        <w:t>9</w:t>
      </w:r>
      <w:r>
        <w:rPr>
          <w:rFonts w:hint="eastAsia" w:ascii="宋体" w:hAnsi="宋体" w:eastAsia="宋体" w:cs="宋体"/>
          <w:b/>
          <w:bCs/>
          <w:color w:val="auto"/>
          <w:szCs w:val="21"/>
          <w:highlight w:val="none"/>
        </w:rPr>
        <w:t>条)。</w:t>
      </w:r>
    </w:p>
    <w:p w14:paraId="2DCA9E3B">
      <w:pPr>
        <w:autoSpaceDE w:val="0"/>
        <w:autoSpaceDN w:val="0"/>
        <w:adjustRightInd w:val="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2、从业人员、营业收入、资产总额填报上一年度数据，无上一年度数据的新成立企业可不填</w:t>
      </w:r>
    </w:p>
    <w:p w14:paraId="30971D0D">
      <w:pPr>
        <w:autoSpaceDE w:val="0"/>
        <w:autoSpaceDN w:val="0"/>
        <w:adjustRightInd w:val="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报。</w:t>
      </w:r>
    </w:p>
    <w:p w14:paraId="112A7B10">
      <w:pPr>
        <w:autoSpaceDE w:val="0"/>
        <w:autoSpaceDN w:val="0"/>
        <w:adjustRightInd w:val="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3、</w:t>
      </w:r>
      <w:r>
        <w:rPr>
          <w:rFonts w:hint="eastAsia" w:ascii="宋体" w:hAnsi="宋体" w:eastAsia="宋体" w:cs="宋体"/>
          <w:b/>
          <w:bCs/>
          <w:color w:val="auto"/>
          <w:szCs w:val="21"/>
          <w:highlight w:val="none"/>
          <w:lang w:val="en-US" w:eastAsia="zh-CN"/>
        </w:rPr>
        <w:t>中标</w:t>
      </w:r>
      <w:r>
        <w:rPr>
          <w:rFonts w:hint="eastAsia" w:ascii="宋体" w:hAnsi="宋体" w:eastAsia="宋体" w:cs="宋体"/>
          <w:b/>
          <w:bCs/>
          <w:color w:val="auto"/>
          <w:szCs w:val="21"/>
          <w:highlight w:val="none"/>
        </w:rPr>
        <w:t>人享受小微企业扶持政策的，其《中小企业声明函》将随成交结果公开。</w:t>
      </w:r>
    </w:p>
    <w:p w14:paraId="2BF0AB5B">
      <w:pPr>
        <w:autoSpaceDE w:val="0"/>
        <w:autoSpaceDN w:val="0"/>
        <w:adjustRightInd w:val="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4、投标人提供的声明函内容不实，属于提供虚假材料谋职</w:t>
      </w:r>
      <w:r>
        <w:rPr>
          <w:rFonts w:hint="eastAsia" w:ascii="宋体" w:hAnsi="宋体" w:eastAsia="宋体" w:cs="宋体"/>
          <w:b/>
          <w:bCs/>
          <w:color w:val="auto"/>
          <w:szCs w:val="21"/>
          <w:highlight w:val="none"/>
          <w:lang w:val="en-US" w:eastAsia="zh-CN"/>
        </w:rPr>
        <w:t>中标</w:t>
      </w:r>
      <w:r>
        <w:rPr>
          <w:rFonts w:hint="eastAsia" w:ascii="宋体" w:hAnsi="宋体" w:eastAsia="宋体" w:cs="宋体"/>
          <w:b/>
          <w:bCs/>
          <w:color w:val="auto"/>
          <w:szCs w:val="21"/>
          <w:highlight w:val="none"/>
        </w:rPr>
        <w:t>的，依照《中华人民共和国政府采购法》等国家有关规定追究相应责任。</w:t>
      </w:r>
    </w:p>
    <w:p w14:paraId="567520BE">
      <w:pPr>
        <w:autoSpaceDE w:val="0"/>
        <w:autoSpaceDN w:val="0"/>
        <w:adjustRightInd w:val="0"/>
        <w:rPr>
          <w:rFonts w:hint="eastAsia" w:ascii="宋体" w:hAnsi="宋体" w:eastAsia="宋体" w:cs="宋体"/>
          <w:color w:val="auto"/>
          <w:szCs w:val="21"/>
          <w:highlight w:val="none"/>
        </w:rPr>
      </w:pPr>
      <w:r>
        <w:rPr>
          <w:rFonts w:hint="eastAsia" w:ascii="宋体" w:hAnsi="宋体" w:eastAsia="宋体" w:cs="宋体"/>
          <w:b/>
          <w:bCs/>
          <w:color w:val="auto"/>
          <w:szCs w:val="21"/>
          <w:highlight w:val="none"/>
        </w:rPr>
        <w:t>5、中小企业划型标准详见工信部联企业(2011)300号“关于印发中小企业划型标准规定的通知”中的《中小企业划型标准规定》;“采购文件中明确的所属行业”详见《投标人须知前附表》。</w:t>
      </w:r>
    </w:p>
    <w:p w14:paraId="36467698">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p>
    <w:p w14:paraId="31D425BB">
      <w:pPr>
        <w:widowControl/>
        <w:spacing w:before="163" w:beforeLines="50" w:line="480" w:lineRule="auto"/>
        <w:rPr>
          <w:rFonts w:hint="eastAsia" w:ascii="宋体" w:hAnsi="宋体" w:eastAsia="宋体" w:cs="宋体"/>
          <w:color w:val="auto"/>
          <w:sz w:val="24"/>
          <w:highlight w:val="none"/>
        </w:rPr>
      </w:pPr>
      <w:bookmarkStart w:id="305" w:name="_Toc617"/>
      <w:bookmarkStart w:id="306" w:name="_Toc8819"/>
      <w:r>
        <w:rPr>
          <w:rFonts w:hint="eastAsia" w:ascii="宋体" w:hAnsi="宋体" w:eastAsia="宋体" w:cs="宋体"/>
          <w:b/>
          <w:bCs/>
          <w:color w:val="auto"/>
          <w:sz w:val="24"/>
          <w:highlight w:val="none"/>
        </w:rPr>
        <w:t>格式2：</w:t>
      </w:r>
      <w:bookmarkEnd w:id="305"/>
      <w:bookmarkEnd w:id="306"/>
    </w:p>
    <w:p w14:paraId="1E541DAD">
      <w:pPr>
        <w:widowControl/>
        <w:spacing w:line="588" w:lineRule="exact"/>
        <w:jc w:val="center"/>
        <w:rPr>
          <w:rFonts w:hint="eastAsia" w:ascii="宋体" w:hAnsi="宋体" w:eastAsia="宋体" w:cs="宋体"/>
          <w:b/>
          <w:color w:val="auto"/>
          <w:spacing w:val="6"/>
          <w:sz w:val="24"/>
          <w:highlight w:val="none"/>
        </w:rPr>
      </w:pPr>
      <w:bookmarkStart w:id="307" w:name="_Toc19693"/>
      <w:bookmarkStart w:id="308" w:name="_Toc28206"/>
      <w:bookmarkStart w:id="309" w:name="_Toc11684"/>
      <w:r>
        <w:rPr>
          <w:rFonts w:hint="eastAsia" w:ascii="宋体" w:hAnsi="宋体" w:eastAsia="宋体" w:cs="宋体"/>
          <w:b/>
          <w:color w:val="auto"/>
          <w:spacing w:val="6"/>
          <w:sz w:val="24"/>
          <w:highlight w:val="none"/>
        </w:rPr>
        <w:t>残疾人福利性单位声明函（若为残疾人福利性单位的才须填写）</w:t>
      </w:r>
      <w:bookmarkEnd w:id="307"/>
      <w:bookmarkEnd w:id="308"/>
      <w:bookmarkEnd w:id="309"/>
    </w:p>
    <w:p w14:paraId="22B65198">
      <w:pPr>
        <w:widowControl/>
        <w:spacing w:line="600" w:lineRule="exact"/>
        <w:ind w:firstLine="504" w:firstLineChars="200"/>
        <w:rPr>
          <w:rFonts w:hint="eastAsia" w:ascii="宋体" w:hAnsi="宋体" w:eastAsia="宋体" w:cs="宋体"/>
          <w:color w:val="auto"/>
          <w:spacing w:val="6"/>
          <w:sz w:val="24"/>
          <w:highlight w:val="none"/>
        </w:rPr>
      </w:pPr>
      <w:r>
        <w:rPr>
          <w:rFonts w:hint="eastAsia" w:ascii="宋体" w:hAnsi="宋体" w:eastAsia="宋体" w:cs="宋体"/>
          <w:color w:val="auto"/>
          <w:spacing w:val="6"/>
          <w:sz w:val="24"/>
          <w:highlight w:val="none"/>
        </w:rPr>
        <w:t>本单位郑重声明，根据《财政部 民政部 中国残疾人联合会关于促进残疾人就业政府采购政策的通知》（财库</w:t>
      </w:r>
      <w:r>
        <w:rPr>
          <w:rFonts w:hint="eastAsia" w:ascii="宋体" w:hAnsi="宋体" w:eastAsia="宋体" w:cs="宋体"/>
          <w:color w:val="auto"/>
          <w:sz w:val="24"/>
          <w:highlight w:val="none"/>
        </w:rPr>
        <w:t>〔2017〕 141</w:t>
      </w:r>
      <w:r>
        <w:rPr>
          <w:rFonts w:hint="eastAsia" w:ascii="宋体" w:hAnsi="宋体" w:eastAsia="宋体" w:cs="宋体"/>
          <w:color w:val="auto"/>
          <w:spacing w:val="6"/>
          <w:sz w:val="24"/>
          <w:highlight w:val="none"/>
        </w:rPr>
        <w:t>号）的规定，本单位为符合条件的残疾人福利性单位，且本单位参加</w:t>
      </w:r>
      <w:r>
        <w:rPr>
          <w:rFonts w:hint="eastAsia" w:ascii="宋体" w:hAnsi="宋体" w:eastAsia="宋体" w:cs="宋体"/>
          <w:color w:val="auto"/>
          <w:spacing w:val="6"/>
          <w:sz w:val="24"/>
          <w:highlight w:val="none"/>
          <w:u w:val="single"/>
        </w:rPr>
        <w:t xml:space="preserve">      </w:t>
      </w:r>
      <w:r>
        <w:rPr>
          <w:rFonts w:hint="eastAsia" w:ascii="宋体" w:hAnsi="宋体" w:eastAsia="宋体" w:cs="宋体"/>
          <w:color w:val="auto"/>
          <w:spacing w:val="6"/>
          <w:sz w:val="24"/>
          <w:highlight w:val="none"/>
        </w:rPr>
        <w:t>单位的</w:t>
      </w:r>
      <w:r>
        <w:rPr>
          <w:rFonts w:hint="eastAsia" w:ascii="宋体" w:hAnsi="宋体" w:eastAsia="宋体" w:cs="宋体"/>
          <w:color w:val="auto"/>
          <w:spacing w:val="6"/>
          <w:sz w:val="24"/>
          <w:highlight w:val="none"/>
          <w:u w:val="single"/>
        </w:rPr>
        <w:t xml:space="preserve">      </w:t>
      </w:r>
      <w:r>
        <w:rPr>
          <w:rFonts w:hint="eastAsia" w:ascii="宋体" w:hAnsi="宋体" w:eastAsia="宋体" w:cs="宋体"/>
          <w:color w:val="auto"/>
          <w:spacing w:val="6"/>
          <w:sz w:val="24"/>
          <w:highlight w:val="none"/>
        </w:rPr>
        <w:t>项目采购活动提供本单位制造的货物（由本单位承担工程/提供服务），或者提供其他残疾人福利性单位制造的货物（不包括使用非残疾人福利性单位注册商标的货物）。</w:t>
      </w:r>
    </w:p>
    <w:p w14:paraId="12DB42A0">
      <w:pPr>
        <w:widowControl/>
        <w:spacing w:line="600" w:lineRule="exact"/>
        <w:ind w:firstLine="504" w:firstLineChars="200"/>
        <w:rPr>
          <w:rFonts w:hint="eastAsia" w:ascii="宋体" w:hAnsi="宋体" w:eastAsia="宋体" w:cs="宋体"/>
          <w:color w:val="auto"/>
          <w:spacing w:val="6"/>
          <w:sz w:val="24"/>
          <w:highlight w:val="none"/>
        </w:rPr>
      </w:pPr>
      <w:r>
        <w:rPr>
          <w:rFonts w:hint="eastAsia" w:ascii="宋体" w:hAnsi="宋体" w:eastAsia="宋体" w:cs="宋体"/>
          <w:color w:val="auto"/>
          <w:spacing w:val="6"/>
          <w:sz w:val="24"/>
          <w:highlight w:val="none"/>
        </w:rPr>
        <w:t>本单位对上述声明的真实性负责。如有虚假，将依法承担相应责任。</w:t>
      </w:r>
    </w:p>
    <w:p w14:paraId="13D3866C">
      <w:pPr>
        <w:widowControl/>
        <w:spacing w:line="600" w:lineRule="exact"/>
        <w:ind w:firstLine="504" w:firstLineChars="200"/>
        <w:rPr>
          <w:rFonts w:hint="eastAsia" w:ascii="宋体" w:hAnsi="宋体" w:eastAsia="宋体" w:cs="宋体"/>
          <w:color w:val="auto"/>
          <w:spacing w:val="6"/>
          <w:sz w:val="24"/>
          <w:highlight w:val="none"/>
        </w:rPr>
      </w:pPr>
    </w:p>
    <w:p w14:paraId="7649F2C0">
      <w:pPr>
        <w:widowControl/>
        <w:spacing w:line="600" w:lineRule="exact"/>
        <w:ind w:firstLine="504" w:firstLineChars="200"/>
        <w:rPr>
          <w:rFonts w:hint="eastAsia" w:ascii="宋体" w:hAnsi="宋体" w:eastAsia="宋体" w:cs="宋体"/>
          <w:color w:val="auto"/>
          <w:spacing w:val="6"/>
          <w:sz w:val="24"/>
          <w:highlight w:val="none"/>
        </w:rPr>
      </w:pPr>
    </w:p>
    <w:p w14:paraId="273A6A3C">
      <w:pPr>
        <w:spacing w:line="360" w:lineRule="auto"/>
        <w:ind w:firstLine="480" w:firstLineChars="200"/>
        <w:jc w:val="left"/>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企业名称（电子签章）：</w:t>
      </w:r>
      <w:r>
        <w:rPr>
          <w:rFonts w:hint="eastAsia" w:ascii="宋体" w:hAnsi="宋体" w:eastAsia="宋体" w:cs="宋体"/>
          <w:bCs/>
          <w:color w:val="auto"/>
          <w:sz w:val="24"/>
          <w:highlight w:val="none"/>
          <w:u w:val="single"/>
        </w:rPr>
        <w:t xml:space="preserve">            </w:t>
      </w:r>
    </w:p>
    <w:p w14:paraId="03CC1481">
      <w:pPr>
        <w:spacing w:line="48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日期：</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年</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月</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日</w:t>
      </w:r>
    </w:p>
    <w:p w14:paraId="261FF63B">
      <w:pPr>
        <w:widowControl/>
        <w:rPr>
          <w:rFonts w:hint="eastAsia" w:ascii="宋体" w:hAnsi="宋体" w:eastAsia="宋体" w:cs="宋体"/>
          <w:b/>
          <w:bCs/>
          <w:color w:val="auto"/>
          <w:sz w:val="24"/>
          <w:highlight w:val="none"/>
        </w:rPr>
      </w:pPr>
      <w:r>
        <w:rPr>
          <w:rFonts w:hint="eastAsia" w:ascii="宋体" w:hAnsi="宋体" w:eastAsia="宋体" w:cs="宋体"/>
          <w:color w:val="auto"/>
          <w:szCs w:val="21"/>
          <w:highlight w:val="none"/>
        </w:rPr>
        <w:br w:type="page"/>
      </w:r>
      <w:bookmarkStart w:id="310" w:name="_Toc6017"/>
      <w:r>
        <w:rPr>
          <w:rFonts w:hint="eastAsia" w:ascii="宋体" w:hAnsi="宋体" w:eastAsia="宋体" w:cs="宋体"/>
          <w:b/>
          <w:bCs/>
          <w:color w:val="auto"/>
          <w:sz w:val="24"/>
          <w:highlight w:val="none"/>
        </w:rPr>
        <w:t>格式3：</w:t>
      </w:r>
      <w:bookmarkEnd w:id="310"/>
    </w:p>
    <w:p w14:paraId="1AAB7676">
      <w:pPr>
        <w:widowControl/>
        <w:spacing w:line="588" w:lineRule="exact"/>
        <w:jc w:val="center"/>
        <w:rPr>
          <w:rFonts w:hint="eastAsia" w:ascii="宋体" w:hAnsi="宋体" w:eastAsia="宋体" w:cs="宋体"/>
          <w:b/>
          <w:color w:val="auto"/>
          <w:spacing w:val="6"/>
          <w:sz w:val="24"/>
          <w:highlight w:val="none"/>
        </w:rPr>
      </w:pPr>
      <w:bookmarkStart w:id="311" w:name="_Toc19100"/>
      <w:bookmarkStart w:id="312" w:name="_Toc24417"/>
      <w:bookmarkStart w:id="313" w:name="_Toc19129"/>
      <w:r>
        <w:rPr>
          <w:rFonts w:hint="eastAsia" w:ascii="宋体" w:hAnsi="宋体" w:eastAsia="宋体" w:cs="宋体"/>
          <w:b/>
          <w:color w:val="auto"/>
          <w:spacing w:val="6"/>
          <w:sz w:val="24"/>
          <w:highlight w:val="none"/>
        </w:rPr>
        <w:t>监狱企业证明文件（若为监狱企业的才须填写）</w:t>
      </w:r>
      <w:bookmarkEnd w:id="311"/>
      <w:bookmarkEnd w:id="312"/>
      <w:bookmarkEnd w:id="313"/>
    </w:p>
    <w:p w14:paraId="195D59C0">
      <w:pPr>
        <w:spacing w:line="48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根据《财政部 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304ED0E8">
      <w:pPr>
        <w:spacing w:line="48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监狱企业参加政府采购活动时，应当提供由省级以上监狱管理局、戒毒管理局（含新疆生产建设兵团）出具的属于监狱企业的证明文件。</w:t>
      </w:r>
    </w:p>
    <w:p w14:paraId="7FBE8B94">
      <w:pPr>
        <w:spacing w:line="48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注：符合条件的监狱企业在参加政府采购活动时，应当按《财政部 司法部关于政府采购支持监狱企业发展有关问题的通知》（财库[2014]68号）提供规定的《监狱企业证明文件》，并对声明的真实性负责。</w:t>
      </w:r>
    </w:p>
    <w:p w14:paraId="4B69764F">
      <w:pPr>
        <w:pStyle w:val="24"/>
        <w:ind w:left="0" w:leftChars="0"/>
        <w:rPr>
          <w:rFonts w:hint="eastAsia" w:ascii="宋体" w:hAnsi="宋体" w:eastAsia="宋体" w:cs="宋体"/>
          <w:color w:val="auto"/>
          <w:highlight w:val="none"/>
        </w:rPr>
      </w:pPr>
    </w:p>
    <w:p w14:paraId="737F962B">
      <w:pPr>
        <w:spacing w:line="360" w:lineRule="auto"/>
        <w:ind w:firstLine="480" w:firstLineChars="200"/>
        <w:jc w:val="left"/>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企业名称（电子签章）：</w:t>
      </w:r>
      <w:r>
        <w:rPr>
          <w:rFonts w:hint="eastAsia" w:ascii="宋体" w:hAnsi="宋体" w:eastAsia="宋体" w:cs="宋体"/>
          <w:bCs/>
          <w:color w:val="auto"/>
          <w:sz w:val="24"/>
          <w:highlight w:val="none"/>
          <w:u w:val="single"/>
        </w:rPr>
        <w:t xml:space="preserve">            </w:t>
      </w:r>
    </w:p>
    <w:p w14:paraId="5C344304">
      <w:pPr>
        <w:spacing w:line="48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日期：</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年</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月</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日</w:t>
      </w:r>
    </w:p>
    <w:p w14:paraId="3A242473">
      <w:pPr>
        <w:spacing w:line="480" w:lineRule="auto"/>
        <w:ind w:firstLine="480" w:firstLineChars="200"/>
        <w:jc w:val="left"/>
        <w:rPr>
          <w:rFonts w:hint="eastAsia" w:ascii="宋体" w:hAnsi="宋体" w:eastAsia="宋体" w:cs="宋体"/>
          <w:bCs/>
          <w:color w:val="auto"/>
          <w:sz w:val="24"/>
          <w:highlight w:val="none"/>
        </w:rPr>
      </w:pPr>
    </w:p>
    <w:p w14:paraId="21D0241E">
      <w:pPr>
        <w:rPr>
          <w:rFonts w:hint="eastAsia" w:ascii="宋体" w:hAnsi="宋体" w:eastAsia="宋体" w:cs="宋体"/>
          <w:color w:val="auto"/>
          <w:highlight w:val="none"/>
        </w:rPr>
      </w:pPr>
    </w:p>
    <w:p w14:paraId="1FEEED90">
      <w:pPr>
        <w:spacing w:line="360" w:lineRule="auto"/>
        <w:ind w:firstLine="424" w:firstLineChars="202"/>
        <w:rPr>
          <w:rFonts w:hint="eastAsia" w:ascii="宋体" w:hAnsi="宋体" w:eastAsia="宋体" w:cs="宋体"/>
          <w:color w:val="auto"/>
          <w:highlight w:val="none"/>
        </w:rPr>
      </w:pPr>
    </w:p>
    <w:p w14:paraId="371B5755">
      <w:pPr>
        <w:spacing w:line="360" w:lineRule="auto"/>
        <w:ind w:firstLine="424" w:firstLineChars="202"/>
        <w:rPr>
          <w:rFonts w:hint="eastAsia" w:ascii="宋体" w:hAnsi="宋体" w:eastAsia="宋体" w:cs="宋体"/>
          <w:color w:val="auto"/>
          <w:highlight w:val="none"/>
        </w:rPr>
      </w:pPr>
    </w:p>
    <w:p w14:paraId="28CE1686">
      <w:pPr>
        <w:spacing w:line="360" w:lineRule="auto"/>
        <w:ind w:firstLine="424" w:firstLineChars="202"/>
        <w:rPr>
          <w:rFonts w:hint="eastAsia" w:ascii="宋体" w:hAnsi="宋体" w:eastAsia="宋体" w:cs="宋体"/>
          <w:color w:val="auto"/>
          <w:highlight w:val="none"/>
        </w:rPr>
      </w:pPr>
    </w:p>
    <w:p w14:paraId="31C7DD4A">
      <w:pPr>
        <w:spacing w:line="360" w:lineRule="auto"/>
        <w:ind w:firstLine="424" w:firstLineChars="202"/>
        <w:rPr>
          <w:rFonts w:hint="eastAsia" w:ascii="宋体" w:hAnsi="宋体" w:eastAsia="宋体" w:cs="宋体"/>
          <w:color w:val="auto"/>
          <w:highlight w:val="none"/>
        </w:rPr>
      </w:pPr>
    </w:p>
    <w:p w14:paraId="6CE881B2">
      <w:pPr>
        <w:spacing w:line="360" w:lineRule="auto"/>
        <w:ind w:firstLine="424" w:firstLineChars="202"/>
        <w:rPr>
          <w:rFonts w:hint="eastAsia" w:ascii="宋体" w:hAnsi="宋体" w:eastAsia="宋体" w:cs="宋体"/>
          <w:color w:val="auto"/>
          <w:highlight w:val="none"/>
        </w:rPr>
      </w:pPr>
    </w:p>
    <w:p w14:paraId="7A38A483">
      <w:pPr>
        <w:spacing w:line="360" w:lineRule="auto"/>
        <w:ind w:firstLine="424" w:firstLineChars="202"/>
        <w:rPr>
          <w:rFonts w:hint="eastAsia" w:ascii="宋体" w:hAnsi="宋体" w:eastAsia="宋体" w:cs="宋体"/>
          <w:color w:val="auto"/>
          <w:highlight w:val="none"/>
        </w:rPr>
      </w:pPr>
    </w:p>
    <w:p w14:paraId="4555D70A">
      <w:pPr>
        <w:spacing w:line="360" w:lineRule="auto"/>
        <w:ind w:firstLine="424" w:firstLineChars="202"/>
        <w:rPr>
          <w:rFonts w:hint="eastAsia" w:ascii="宋体" w:hAnsi="宋体" w:eastAsia="宋体" w:cs="宋体"/>
          <w:color w:val="auto"/>
          <w:highlight w:val="none"/>
        </w:rPr>
      </w:pPr>
    </w:p>
    <w:p w14:paraId="2BD5A4C4">
      <w:pPr>
        <w:spacing w:line="360" w:lineRule="auto"/>
        <w:ind w:firstLine="424" w:firstLineChars="202"/>
        <w:rPr>
          <w:rFonts w:hint="eastAsia" w:ascii="宋体" w:hAnsi="宋体" w:eastAsia="宋体" w:cs="宋体"/>
          <w:color w:val="auto"/>
          <w:highlight w:val="none"/>
        </w:rPr>
      </w:pPr>
    </w:p>
    <w:p w14:paraId="27AC5E8F">
      <w:pPr>
        <w:spacing w:line="360" w:lineRule="auto"/>
        <w:ind w:firstLine="424" w:firstLineChars="202"/>
        <w:rPr>
          <w:rFonts w:hint="eastAsia" w:ascii="宋体" w:hAnsi="宋体" w:eastAsia="宋体" w:cs="宋体"/>
          <w:color w:val="auto"/>
          <w:highlight w:val="none"/>
        </w:rPr>
      </w:pPr>
    </w:p>
    <w:p w14:paraId="730A5156">
      <w:pPr>
        <w:spacing w:line="360" w:lineRule="auto"/>
        <w:ind w:firstLine="424" w:firstLineChars="202"/>
        <w:rPr>
          <w:rFonts w:hint="eastAsia" w:ascii="宋体" w:hAnsi="宋体" w:eastAsia="宋体" w:cs="宋体"/>
          <w:color w:val="auto"/>
          <w:highlight w:val="none"/>
        </w:rPr>
      </w:pPr>
    </w:p>
    <w:p w14:paraId="442411E7">
      <w:pPr>
        <w:rPr>
          <w:rStyle w:val="136"/>
          <w:rFonts w:hint="eastAsia" w:ascii="宋体" w:hAnsi="宋体" w:eastAsia="宋体" w:cs="宋体"/>
          <w:color w:val="auto"/>
          <w:highlight w:val="none"/>
        </w:rPr>
      </w:pPr>
      <w:bookmarkStart w:id="314" w:name="_Toc10592"/>
      <w:bookmarkStart w:id="315" w:name="_Toc8503"/>
      <w:r>
        <w:rPr>
          <w:rStyle w:val="136"/>
          <w:rFonts w:hint="eastAsia" w:ascii="宋体" w:hAnsi="宋体" w:eastAsia="宋体" w:cs="宋体"/>
          <w:color w:val="auto"/>
          <w:highlight w:val="none"/>
        </w:rPr>
        <w:br w:type="page"/>
      </w:r>
    </w:p>
    <w:p w14:paraId="487DC3A4">
      <w:pPr>
        <w:spacing w:line="360" w:lineRule="auto"/>
        <w:jc w:val="center"/>
        <w:outlineLvl w:val="2"/>
        <w:rPr>
          <w:rFonts w:hint="eastAsia" w:ascii="宋体" w:hAnsi="宋体" w:eastAsia="宋体" w:cs="宋体"/>
          <w:b/>
          <w:bCs/>
          <w:color w:val="auto"/>
          <w:sz w:val="24"/>
          <w:szCs w:val="21"/>
          <w:highlight w:val="none"/>
        </w:rPr>
      </w:pPr>
      <w:bookmarkStart w:id="316" w:name="_Toc20017"/>
      <w:bookmarkStart w:id="317" w:name="_Toc26785"/>
      <w:bookmarkStart w:id="318" w:name="_Toc15356"/>
      <w:bookmarkStart w:id="319" w:name="_Toc10074"/>
      <w:bookmarkStart w:id="320" w:name="_Toc8405"/>
      <w:bookmarkStart w:id="321" w:name="_Toc786"/>
      <w:bookmarkStart w:id="322" w:name="_Toc32130"/>
      <w:r>
        <w:rPr>
          <w:rStyle w:val="136"/>
          <w:rFonts w:hint="eastAsia" w:ascii="宋体" w:hAnsi="宋体" w:eastAsia="宋体" w:cs="宋体"/>
          <w:color w:val="auto"/>
          <w:sz w:val="28"/>
          <w:szCs w:val="28"/>
          <w:highlight w:val="none"/>
        </w:rPr>
        <w:t>（三）投标人承诺书</w:t>
      </w:r>
      <w:bookmarkEnd w:id="316"/>
      <w:bookmarkEnd w:id="317"/>
      <w:bookmarkEnd w:id="318"/>
      <w:bookmarkEnd w:id="319"/>
      <w:bookmarkEnd w:id="320"/>
      <w:bookmarkEnd w:id="321"/>
      <w:bookmarkEnd w:id="322"/>
    </w:p>
    <w:p w14:paraId="1DC8BAAE">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本企业参与</w:t>
      </w:r>
      <w:r>
        <w:rPr>
          <w:rFonts w:hint="eastAsia" w:ascii="宋体" w:hAnsi="宋体" w:eastAsia="宋体" w:cs="宋体"/>
          <w:color w:val="auto"/>
          <w:sz w:val="24"/>
          <w:highlight w:val="none"/>
          <w:u w:val="single"/>
        </w:rPr>
        <w:t>（采购项目名称）</w:t>
      </w:r>
      <w:r>
        <w:rPr>
          <w:rFonts w:hint="eastAsia" w:ascii="宋体" w:hAnsi="宋体" w:eastAsia="宋体" w:cs="宋体"/>
          <w:color w:val="auto"/>
          <w:sz w:val="24"/>
          <w:highlight w:val="none"/>
        </w:rPr>
        <w:t>（</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lang w:val="en-US" w:eastAsia="zh-CN"/>
        </w:rPr>
        <w:t>标段号及名称：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highlight w:val="none"/>
        </w:rPr>
        <w:t>）项目的投标，现作如下承诺：</w:t>
      </w:r>
    </w:p>
    <w:p w14:paraId="7764BB4B">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1.我公司参与此次投标活动所提交的所有资料都是合法、真实、有效的。</w:t>
      </w:r>
    </w:p>
    <w:p w14:paraId="0601ED06">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2.不与其他投标人串通投标、围标，依法、依规公平竞争，不损害采购人或其他投标人的合法权益。</w:t>
      </w:r>
    </w:p>
    <w:p w14:paraId="7DDDBD32">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3.不转让、出租、出借资质证书、人员岗位证书，不以法律、法规禁止的方式投标。</w:t>
      </w:r>
    </w:p>
    <w:p w14:paraId="19D36E47">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4.不与采购人或采购代理机构串通投标，不损害国家利益、社会公共利益或其他当事人的合法权益。</w:t>
      </w:r>
    </w:p>
    <w:p w14:paraId="027C325B">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5.不向采购人、评标委员会成员、监督人员行贿。</w:t>
      </w:r>
    </w:p>
    <w:p w14:paraId="27703320">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6.不扰乱公共资源交易活动正常秩序。</w:t>
      </w:r>
    </w:p>
    <w:p w14:paraId="2D49FF4A">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7.不进行虚假恶意投诉。</w:t>
      </w:r>
    </w:p>
    <w:p w14:paraId="2E9CA781">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8.因违反法律、法规或相关规定被查处的，不干预案件查处。</w:t>
      </w:r>
    </w:p>
    <w:p w14:paraId="4F51A845">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如出现违法、违规或不良行为，甘愿接受公共资源交易监督管理部门、纪检监察机关或司法机关调查处理。违法、违规或不良行为事实成立的，本投标人承担相关责任。给采购人造成损失的，依法承担赔偿责任。</w:t>
      </w:r>
    </w:p>
    <w:p w14:paraId="090DEEDC">
      <w:pPr>
        <w:spacing w:before="100" w:after="100" w:line="360" w:lineRule="auto"/>
        <w:rPr>
          <w:rFonts w:hint="eastAsia" w:ascii="宋体" w:hAnsi="宋体" w:eastAsia="宋体" w:cs="宋体"/>
          <w:color w:val="auto"/>
          <w:sz w:val="24"/>
          <w:highlight w:val="none"/>
        </w:rPr>
      </w:pPr>
    </w:p>
    <w:p w14:paraId="32B6198E">
      <w:pPr>
        <w:spacing w:line="480" w:lineRule="auto"/>
        <w:ind w:firstLine="480" w:firstLineChars="200"/>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投标人：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(电子签章) </w:t>
      </w:r>
    </w:p>
    <w:p w14:paraId="3820FE6F">
      <w:pPr>
        <w:spacing w:line="480" w:lineRule="auto"/>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法定代表人或其委托代理人：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(电子签章或签名) </w:t>
      </w:r>
    </w:p>
    <w:p w14:paraId="09E48F26">
      <w:pPr>
        <w:spacing w:line="480" w:lineRule="auto"/>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日期：</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年</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月</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日</w:t>
      </w:r>
    </w:p>
    <w:p w14:paraId="57830188">
      <w:pPr>
        <w:rPr>
          <w:rFonts w:hint="eastAsia" w:ascii="宋体" w:hAnsi="宋体" w:eastAsia="宋体" w:cs="宋体"/>
          <w:color w:val="auto"/>
          <w:szCs w:val="21"/>
          <w:highlight w:val="none"/>
        </w:rPr>
      </w:pPr>
    </w:p>
    <w:p w14:paraId="085EA5B1">
      <w:pPr>
        <w:rPr>
          <w:rStyle w:val="136"/>
          <w:rFonts w:hint="eastAsia" w:ascii="宋体" w:hAnsi="宋体" w:eastAsia="宋体" w:cs="宋体"/>
          <w:color w:val="auto"/>
          <w:highlight w:val="none"/>
        </w:rPr>
      </w:pPr>
      <w:r>
        <w:rPr>
          <w:rStyle w:val="136"/>
          <w:rFonts w:hint="eastAsia" w:ascii="宋体" w:hAnsi="宋体" w:eastAsia="宋体" w:cs="宋体"/>
          <w:color w:val="auto"/>
          <w:highlight w:val="none"/>
        </w:rPr>
        <w:br w:type="page"/>
      </w:r>
    </w:p>
    <w:p w14:paraId="6619FF7E">
      <w:pPr>
        <w:spacing w:line="440" w:lineRule="exact"/>
        <w:jc w:val="center"/>
        <w:outlineLvl w:val="1"/>
        <w:rPr>
          <w:rFonts w:hint="eastAsia" w:ascii="宋体" w:hAnsi="宋体" w:eastAsia="宋体" w:cs="宋体"/>
          <w:b/>
          <w:color w:val="auto"/>
          <w:sz w:val="28"/>
          <w:szCs w:val="28"/>
          <w:highlight w:val="none"/>
        </w:rPr>
      </w:pPr>
      <w:bookmarkStart w:id="323" w:name="_Toc6091"/>
      <w:bookmarkStart w:id="324" w:name="_Toc2893"/>
      <w:bookmarkStart w:id="325" w:name="_Toc25152"/>
      <w:r>
        <w:rPr>
          <w:rStyle w:val="136"/>
          <w:rFonts w:hint="eastAsia" w:ascii="宋体" w:hAnsi="宋体" w:eastAsia="宋体" w:cs="宋体"/>
          <w:color w:val="auto"/>
          <w:highlight w:val="none"/>
        </w:rPr>
        <w:t>四、技术部分格式</w:t>
      </w:r>
      <w:bookmarkEnd w:id="314"/>
      <w:bookmarkEnd w:id="315"/>
      <w:bookmarkEnd w:id="323"/>
      <w:bookmarkEnd w:id="324"/>
      <w:bookmarkEnd w:id="325"/>
      <w:bookmarkStart w:id="326" w:name="_Toc205017035"/>
      <w:bookmarkStart w:id="327" w:name="_Toc272421895"/>
      <w:bookmarkStart w:id="328" w:name="_Toc351117898"/>
      <w:bookmarkStart w:id="329" w:name="_Toc350330514"/>
      <w:bookmarkStart w:id="330" w:name="_Toc350930014"/>
      <w:bookmarkStart w:id="331" w:name="_Toc204749340"/>
      <w:bookmarkStart w:id="332" w:name="_Toc350930229"/>
    </w:p>
    <w:bookmarkEnd w:id="326"/>
    <w:bookmarkEnd w:id="327"/>
    <w:bookmarkEnd w:id="328"/>
    <w:bookmarkEnd w:id="329"/>
    <w:bookmarkEnd w:id="330"/>
    <w:bookmarkEnd w:id="331"/>
    <w:bookmarkEnd w:id="332"/>
    <w:p w14:paraId="49CDABF9">
      <w:pPr>
        <w:pStyle w:val="4"/>
        <w:jc w:val="center"/>
        <w:rPr>
          <w:rFonts w:hint="eastAsia" w:ascii="宋体" w:hAnsi="宋体" w:eastAsia="宋体" w:cs="宋体"/>
          <w:color w:val="auto"/>
          <w:szCs w:val="28"/>
          <w:highlight w:val="none"/>
        </w:rPr>
      </w:pPr>
      <w:bookmarkStart w:id="333" w:name="_Toc7496"/>
      <w:bookmarkStart w:id="334" w:name="_Toc493600041"/>
      <w:bookmarkStart w:id="335" w:name="_Toc7201"/>
      <w:bookmarkStart w:id="336" w:name="_Toc213141099"/>
      <w:bookmarkStart w:id="337" w:name="_Toc507412343"/>
      <w:bookmarkStart w:id="338" w:name="_Toc497322844"/>
      <w:bookmarkStart w:id="339" w:name="_Toc502175768"/>
      <w:bookmarkStart w:id="340" w:name="_Toc4776"/>
      <w:bookmarkStart w:id="341" w:name="_Toc17575"/>
      <w:bookmarkStart w:id="342" w:name="_Toc15253"/>
      <w:r>
        <w:rPr>
          <w:rFonts w:hint="eastAsia" w:ascii="宋体" w:hAnsi="宋体" w:eastAsia="宋体" w:cs="宋体"/>
          <w:color w:val="auto"/>
          <w:szCs w:val="28"/>
          <w:highlight w:val="none"/>
        </w:rPr>
        <w:t>（</w:t>
      </w:r>
      <w:r>
        <w:rPr>
          <w:rFonts w:hint="eastAsia" w:ascii="宋体" w:hAnsi="宋体" w:eastAsia="宋体" w:cs="宋体"/>
          <w:color w:val="auto"/>
          <w:szCs w:val="28"/>
          <w:highlight w:val="none"/>
          <w:lang w:val="en-US" w:eastAsia="zh-CN"/>
        </w:rPr>
        <w:t>一</w:t>
      </w:r>
      <w:r>
        <w:rPr>
          <w:rFonts w:hint="eastAsia" w:ascii="宋体" w:hAnsi="宋体" w:eastAsia="宋体" w:cs="宋体"/>
          <w:color w:val="auto"/>
          <w:szCs w:val="28"/>
          <w:highlight w:val="none"/>
        </w:rPr>
        <w:t>）技术规格偏离表</w:t>
      </w:r>
      <w:bookmarkEnd w:id="333"/>
      <w:bookmarkEnd w:id="334"/>
      <w:bookmarkEnd w:id="335"/>
      <w:bookmarkEnd w:id="336"/>
      <w:bookmarkEnd w:id="337"/>
      <w:bookmarkEnd w:id="338"/>
      <w:bookmarkEnd w:id="339"/>
    </w:p>
    <w:p w14:paraId="36C2050F">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请按投标产品的实际技术参数，逐条对应招标文件的“采购需求”中要求的技术参数认真填写该表。</w:t>
      </w:r>
    </w:p>
    <w:p w14:paraId="751C1C50">
      <w:pP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项目名称：</w:t>
      </w:r>
      <w:r>
        <w:rPr>
          <w:rFonts w:hint="eastAsia" w:ascii="宋体" w:hAnsi="宋体" w:eastAsia="宋体" w:cs="宋体"/>
          <w:b/>
          <w:bCs/>
          <w:color w:val="auto"/>
          <w:sz w:val="24"/>
          <w:highlight w:val="none"/>
          <w:u w:val="single"/>
        </w:rPr>
        <w:t xml:space="preserve">                      </w:t>
      </w:r>
      <w:r>
        <w:rPr>
          <w:rFonts w:hint="eastAsia" w:ascii="宋体" w:hAnsi="宋体" w:eastAsia="宋体" w:cs="宋体"/>
          <w:b/>
          <w:bCs/>
          <w:color w:val="auto"/>
          <w:sz w:val="24"/>
          <w:highlight w:val="none"/>
        </w:rPr>
        <w:t xml:space="preserve">   </w:t>
      </w:r>
    </w:p>
    <w:p w14:paraId="46F0C063">
      <w:pP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项目编号：</w:t>
      </w:r>
      <w:r>
        <w:rPr>
          <w:rFonts w:hint="eastAsia" w:ascii="宋体" w:hAnsi="宋体" w:eastAsia="宋体" w:cs="宋体"/>
          <w:b/>
          <w:bCs/>
          <w:color w:val="auto"/>
          <w:sz w:val="24"/>
          <w:highlight w:val="none"/>
          <w:u w:val="single"/>
        </w:rPr>
        <w:t xml:space="preserve">                      </w:t>
      </w:r>
      <w:r>
        <w:rPr>
          <w:rFonts w:hint="eastAsia" w:ascii="宋体" w:hAnsi="宋体" w:eastAsia="宋体" w:cs="宋体"/>
          <w:b/>
          <w:bCs/>
          <w:color w:val="auto"/>
          <w:sz w:val="24"/>
          <w:highlight w:val="none"/>
        </w:rPr>
        <w:t xml:space="preserve">          </w:t>
      </w:r>
      <w:r>
        <w:rPr>
          <w:rFonts w:hint="eastAsia" w:ascii="宋体" w:hAnsi="宋体" w:eastAsia="宋体" w:cs="宋体"/>
          <w:b/>
          <w:color w:val="auto"/>
          <w:sz w:val="24"/>
          <w:highlight w:val="none"/>
          <w:lang w:val="en-US" w:eastAsia="zh-CN"/>
        </w:rPr>
        <w:t>标段号及名称</w:t>
      </w:r>
      <w:r>
        <w:rPr>
          <w:rFonts w:hint="eastAsia" w:ascii="宋体" w:hAnsi="宋体" w:eastAsia="宋体" w:cs="宋体"/>
          <w:b/>
          <w:color w:val="auto"/>
          <w:sz w:val="24"/>
          <w:highlight w:val="none"/>
        </w:rPr>
        <w:t>：</w:t>
      </w:r>
      <w:r>
        <w:rPr>
          <w:rFonts w:hint="eastAsia" w:ascii="宋体" w:hAnsi="宋体" w:eastAsia="宋体" w:cs="宋体"/>
          <w:b/>
          <w:color w:val="auto"/>
          <w:sz w:val="24"/>
          <w:highlight w:val="none"/>
          <w:u w:val="single"/>
        </w:rPr>
        <w:t xml:space="preserve">               </w:t>
      </w:r>
      <w:r>
        <w:rPr>
          <w:rFonts w:hint="eastAsia" w:ascii="宋体" w:hAnsi="宋体" w:eastAsia="宋体" w:cs="宋体"/>
          <w:bCs/>
          <w:color w:val="auto"/>
          <w:sz w:val="24"/>
          <w:highlight w:val="none"/>
          <w:u w:val="single"/>
        </w:rPr>
        <w:t xml:space="preserve">    </w:t>
      </w:r>
      <w:r>
        <w:rPr>
          <w:rFonts w:hint="eastAsia" w:ascii="宋体" w:hAnsi="宋体" w:eastAsia="宋体" w:cs="宋体"/>
          <w:b/>
          <w:bCs/>
          <w:color w:val="auto"/>
          <w:sz w:val="24"/>
          <w:highlight w:val="none"/>
        </w:rPr>
        <w:t xml:space="preserve">   </w:t>
      </w:r>
    </w:p>
    <w:tbl>
      <w:tblPr>
        <w:tblStyle w:val="42"/>
        <w:tblW w:w="96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6"/>
        <w:gridCol w:w="2283"/>
        <w:gridCol w:w="2967"/>
        <w:gridCol w:w="866"/>
        <w:gridCol w:w="2317"/>
      </w:tblGrid>
      <w:tr w14:paraId="495F2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1246" w:type="dxa"/>
            <w:vAlign w:val="center"/>
          </w:tcPr>
          <w:p w14:paraId="38FD6F4A">
            <w:pPr>
              <w:jc w:val="center"/>
              <w:rPr>
                <w:rFonts w:hint="eastAsia" w:ascii="宋体" w:hAnsi="宋体" w:eastAsia="宋体" w:cs="宋体"/>
                <w:b/>
                <w:color w:val="auto"/>
                <w:sz w:val="24"/>
                <w:highlight w:val="none"/>
              </w:rPr>
            </w:pPr>
            <w:r>
              <w:rPr>
                <w:rFonts w:hint="eastAsia" w:ascii="宋体" w:hAnsi="宋体" w:eastAsia="宋体" w:cs="宋体"/>
                <w:b/>
                <w:color w:val="auto"/>
                <w:kern w:val="0"/>
                <w:sz w:val="24"/>
                <w:highlight w:val="none"/>
              </w:rPr>
              <w:t>名称</w:t>
            </w:r>
          </w:p>
        </w:tc>
        <w:tc>
          <w:tcPr>
            <w:tcW w:w="2283" w:type="dxa"/>
            <w:vAlign w:val="center"/>
          </w:tcPr>
          <w:p w14:paraId="73E2788E">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招标文件技术需求</w:t>
            </w:r>
          </w:p>
        </w:tc>
        <w:tc>
          <w:tcPr>
            <w:tcW w:w="2967" w:type="dxa"/>
            <w:vAlign w:val="center"/>
          </w:tcPr>
          <w:p w14:paraId="05CB54CA">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技术参数（指标）偏离值对比及说明（与招标文件采购需求逐条对照）参数</w:t>
            </w:r>
          </w:p>
        </w:tc>
        <w:tc>
          <w:tcPr>
            <w:tcW w:w="866" w:type="dxa"/>
            <w:vAlign w:val="center"/>
          </w:tcPr>
          <w:p w14:paraId="0AD8410C">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偏离</w:t>
            </w:r>
          </w:p>
        </w:tc>
        <w:tc>
          <w:tcPr>
            <w:tcW w:w="2317" w:type="dxa"/>
            <w:vAlign w:val="center"/>
          </w:tcPr>
          <w:p w14:paraId="487A65B0">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技术支持资料索引（页码或条目号等）</w:t>
            </w:r>
          </w:p>
        </w:tc>
      </w:tr>
      <w:tr w14:paraId="21FBC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1246" w:type="dxa"/>
          </w:tcPr>
          <w:p w14:paraId="1D003FEF">
            <w:pPr>
              <w:rPr>
                <w:rFonts w:hint="eastAsia" w:ascii="宋体" w:hAnsi="宋体" w:eastAsia="宋体" w:cs="宋体"/>
                <w:color w:val="auto"/>
                <w:sz w:val="24"/>
                <w:highlight w:val="none"/>
              </w:rPr>
            </w:pPr>
          </w:p>
        </w:tc>
        <w:tc>
          <w:tcPr>
            <w:tcW w:w="2283" w:type="dxa"/>
          </w:tcPr>
          <w:p w14:paraId="622248BC">
            <w:pPr>
              <w:rPr>
                <w:rFonts w:hint="eastAsia" w:ascii="宋体" w:hAnsi="宋体" w:eastAsia="宋体" w:cs="宋体"/>
                <w:color w:val="auto"/>
                <w:sz w:val="24"/>
                <w:highlight w:val="none"/>
              </w:rPr>
            </w:pPr>
          </w:p>
        </w:tc>
        <w:tc>
          <w:tcPr>
            <w:tcW w:w="2967" w:type="dxa"/>
          </w:tcPr>
          <w:p w14:paraId="4DBB8211">
            <w:pPr>
              <w:rPr>
                <w:rFonts w:hint="eastAsia" w:ascii="宋体" w:hAnsi="宋体" w:eastAsia="宋体" w:cs="宋体"/>
                <w:color w:val="auto"/>
                <w:sz w:val="24"/>
                <w:highlight w:val="none"/>
              </w:rPr>
            </w:pPr>
          </w:p>
        </w:tc>
        <w:tc>
          <w:tcPr>
            <w:tcW w:w="866" w:type="dxa"/>
          </w:tcPr>
          <w:p w14:paraId="5B9DFE88">
            <w:pPr>
              <w:rPr>
                <w:rFonts w:hint="eastAsia" w:ascii="宋体" w:hAnsi="宋体" w:eastAsia="宋体" w:cs="宋体"/>
                <w:color w:val="auto"/>
                <w:sz w:val="24"/>
                <w:highlight w:val="none"/>
              </w:rPr>
            </w:pPr>
          </w:p>
        </w:tc>
        <w:tc>
          <w:tcPr>
            <w:tcW w:w="2317" w:type="dxa"/>
            <w:vAlign w:val="center"/>
          </w:tcPr>
          <w:p w14:paraId="4D116128">
            <w:pPr>
              <w:rPr>
                <w:rFonts w:hint="eastAsia" w:ascii="宋体" w:hAnsi="宋体" w:eastAsia="宋体" w:cs="宋体"/>
                <w:color w:val="auto"/>
                <w:sz w:val="24"/>
                <w:highlight w:val="none"/>
              </w:rPr>
            </w:pPr>
          </w:p>
        </w:tc>
      </w:tr>
      <w:tr w14:paraId="15C61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1246" w:type="dxa"/>
          </w:tcPr>
          <w:p w14:paraId="201304CF">
            <w:pPr>
              <w:rPr>
                <w:rFonts w:hint="eastAsia" w:ascii="宋体" w:hAnsi="宋体" w:eastAsia="宋体" w:cs="宋体"/>
                <w:color w:val="auto"/>
                <w:sz w:val="24"/>
                <w:highlight w:val="none"/>
              </w:rPr>
            </w:pPr>
          </w:p>
        </w:tc>
        <w:tc>
          <w:tcPr>
            <w:tcW w:w="2283" w:type="dxa"/>
          </w:tcPr>
          <w:p w14:paraId="410B1757">
            <w:pPr>
              <w:rPr>
                <w:rFonts w:hint="eastAsia" w:ascii="宋体" w:hAnsi="宋体" w:eastAsia="宋体" w:cs="宋体"/>
                <w:color w:val="auto"/>
                <w:sz w:val="24"/>
                <w:highlight w:val="none"/>
              </w:rPr>
            </w:pPr>
          </w:p>
        </w:tc>
        <w:tc>
          <w:tcPr>
            <w:tcW w:w="2967" w:type="dxa"/>
          </w:tcPr>
          <w:p w14:paraId="4A28B0DC">
            <w:pPr>
              <w:rPr>
                <w:rFonts w:hint="eastAsia" w:ascii="宋体" w:hAnsi="宋体" w:eastAsia="宋体" w:cs="宋体"/>
                <w:color w:val="auto"/>
                <w:sz w:val="24"/>
                <w:highlight w:val="none"/>
              </w:rPr>
            </w:pPr>
          </w:p>
        </w:tc>
        <w:tc>
          <w:tcPr>
            <w:tcW w:w="866" w:type="dxa"/>
          </w:tcPr>
          <w:p w14:paraId="7FD75D23">
            <w:pPr>
              <w:rPr>
                <w:rFonts w:hint="eastAsia" w:ascii="宋体" w:hAnsi="宋体" w:eastAsia="宋体" w:cs="宋体"/>
                <w:color w:val="auto"/>
                <w:sz w:val="24"/>
                <w:highlight w:val="none"/>
              </w:rPr>
            </w:pPr>
          </w:p>
        </w:tc>
        <w:tc>
          <w:tcPr>
            <w:tcW w:w="2317" w:type="dxa"/>
            <w:vAlign w:val="center"/>
          </w:tcPr>
          <w:p w14:paraId="368BFCEA">
            <w:pPr>
              <w:rPr>
                <w:rFonts w:hint="eastAsia" w:ascii="宋体" w:hAnsi="宋体" w:eastAsia="宋体" w:cs="宋体"/>
                <w:color w:val="auto"/>
                <w:sz w:val="24"/>
                <w:highlight w:val="none"/>
              </w:rPr>
            </w:pPr>
          </w:p>
        </w:tc>
      </w:tr>
      <w:tr w14:paraId="7BFDD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1246" w:type="dxa"/>
          </w:tcPr>
          <w:p w14:paraId="6EA41EAE">
            <w:pPr>
              <w:rPr>
                <w:rFonts w:hint="eastAsia" w:ascii="宋体" w:hAnsi="宋体" w:eastAsia="宋体" w:cs="宋体"/>
                <w:color w:val="auto"/>
                <w:sz w:val="24"/>
                <w:highlight w:val="none"/>
              </w:rPr>
            </w:pPr>
          </w:p>
        </w:tc>
        <w:tc>
          <w:tcPr>
            <w:tcW w:w="2283" w:type="dxa"/>
          </w:tcPr>
          <w:p w14:paraId="5F04F39E">
            <w:pPr>
              <w:rPr>
                <w:rFonts w:hint="eastAsia" w:ascii="宋体" w:hAnsi="宋体" w:eastAsia="宋体" w:cs="宋体"/>
                <w:color w:val="auto"/>
                <w:sz w:val="24"/>
                <w:highlight w:val="none"/>
              </w:rPr>
            </w:pPr>
          </w:p>
        </w:tc>
        <w:tc>
          <w:tcPr>
            <w:tcW w:w="2967" w:type="dxa"/>
          </w:tcPr>
          <w:p w14:paraId="14EE79AA">
            <w:pPr>
              <w:rPr>
                <w:rFonts w:hint="eastAsia" w:ascii="宋体" w:hAnsi="宋体" w:eastAsia="宋体" w:cs="宋体"/>
                <w:color w:val="auto"/>
                <w:sz w:val="24"/>
                <w:highlight w:val="none"/>
              </w:rPr>
            </w:pPr>
          </w:p>
        </w:tc>
        <w:tc>
          <w:tcPr>
            <w:tcW w:w="866" w:type="dxa"/>
          </w:tcPr>
          <w:p w14:paraId="35CCD72A">
            <w:pPr>
              <w:rPr>
                <w:rFonts w:hint="eastAsia" w:ascii="宋体" w:hAnsi="宋体" w:eastAsia="宋体" w:cs="宋体"/>
                <w:color w:val="auto"/>
                <w:sz w:val="24"/>
                <w:highlight w:val="none"/>
              </w:rPr>
            </w:pPr>
          </w:p>
        </w:tc>
        <w:tc>
          <w:tcPr>
            <w:tcW w:w="2317" w:type="dxa"/>
            <w:vAlign w:val="center"/>
          </w:tcPr>
          <w:p w14:paraId="0498FE9B">
            <w:pPr>
              <w:rPr>
                <w:rFonts w:hint="eastAsia" w:ascii="宋体" w:hAnsi="宋体" w:eastAsia="宋体" w:cs="宋体"/>
                <w:color w:val="auto"/>
                <w:sz w:val="24"/>
                <w:highlight w:val="none"/>
              </w:rPr>
            </w:pPr>
          </w:p>
        </w:tc>
      </w:tr>
      <w:tr w14:paraId="01BEA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1246" w:type="dxa"/>
          </w:tcPr>
          <w:p w14:paraId="24EDC83D">
            <w:pPr>
              <w:rPr>
                <w:rFonts w:hint="eastAsia" w:ascii="宋体" w:hAnsi="宋体" w:eastAsia="宋体" w:cs="宋体"/>
                <w:color w:val="auto"/>
                <w:sz w:val="24"/>
                <w:highlight w:val="none"/>
              </w:rPr>
            </w:pPr>
          </w:p>
        </w:tc>
        <w:tc>
          <w:tcPr>
            <w:tcW w:w="2283" w:type="dxa"/>
          </w:tcPr>
          <w:p w14:paraId="24E2DA96">
            <w:pPr>
              <w:rPr>
                <w:rFonts w:hint="eastAsia" w:ascii="宋体" w:hAnsi="宋体" w:eastAsia="宋体" w:cs="宋体"/>
                <w:color w:val="auto"/>
                <w:sz w:val="24"/>
                <w:highlight w:val="none"/>
              </w:rPr>
            </w:pPr>
          </w:p>
        </w:tc>
        <w:tc>
          <w:tcPr>
            <w:tcW w:w="2967" w:type="dxa"/>
          </w:tcPr>
          <w:p w14:paraId="7B335ADA">
            <w:pPr>
              <w:rPr>
                <w:rFonts w:hint="eastAsia" w:ascii="宋体" w:hAnsi="宋体" w:eastAsia="宋体" w:cs="宋体"/>
                <w:color w:val="auto"/>
                <w:sz w:val="24"/>
                <w:highlight w:val="none"/>
              </w:rPr>
            </w:pPr>
          </w:p>
        </w:tc>
        <w:tc>
          <w:tcPr>
            <w:tcW w:w="866" w:type="dxa"/>
          </w:tcPr>
          <w:p w14:paraId="356033BC">
            <w:pPr>
              <w:rPr>
                <w:rFonts w:hint="eastAsia" w:ascii="宋体" w:hAnsi="宋体" w:eastAsia="宋体" w:cs="宋体"/>
                <w:color w:val="auto"/>
                <w:sz w:val="24"/>
                <w:highlight w:val="none"/>
              </w:rPr>
            </w:pPr>
          </w:p>
        </w:tc>
        <w:tc>
          <w:tcPr>
            <w:tcW w:w="2317" w:type="dxa"/>
            <w:vAlign w:val="center"/>
          </w:tcPr>
          <w:p w14:paraId="4D3AC394">
            <w:pPr>
              <w:rPr>
                <w:rFonts w:hint="eastAsia" w:ascii="宋体" w:hAnsi="宋体" w:eastAsia="宋体" w:cs="宋体"/>
                <w:color w:val="auto"/>
                <w:sz w:val="24"/>
                <w:highlight w:val="none"/>
              </w:rPr>
            </w:pPr>
          </w:p>
        </w:tc>
      </w:tr>
      <w:tr w14:paraId="07CCF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1246" w:type="dxa"/>
          </w:tcPr>
          <w:p w14:paraId="5CCC97AA">
            <w:pPr>
              <w:rPr>
                <w:rFonts w:hint="eastAsia" w:ascii="宋体" w:hAnsi="宋体" w:eastAsia="宋体" w:cs="宋体"/>
                <w:color w:val="auto"/>
                <w:sz w:val="24"/>
                <w:highlight w:val="none"/>
              </w:rPr>
            </w:pPr>
          </w:p>
        </w:tc>
        <w:tc>
          <w:tcPr>
            <w:tcW w:w="2283" w:type="dxa"/>
          </w:tcPr>
          <w:p w14:paraId="4170FA89">
            <w:pPr>
              <w:rPr>
                <w:rFonts w:hint="eastAsia" w:ascii="宋体" w:hAnsi="宋体" w:eastAsia="宋体" w:cs="宋体"/>
                <w:color w:val="auto"/>
                <w:sz w:val="24"/>
                <w:highlight w:val="none"/>
              </w:rPr>
            </w:pPr>
          </w:p>
        </w:tc>
        <w:tc>
          <w:tcPr>
            <w:tcW w:w="2967" w:type="dxa"/>
          </w:tcPr>
          <w:p w14:paraId="13D418E4">
            <w:pPr>
              <w:rPr>
                <w:rFonts w:hint="eastAsia" w:ascii="宋体" w:hAnsi="宋体" w:eastAsia="宋体" w:cs="宋体"/>
                <w:color w:val="auto"/>
                <w:sz w:val="24"/>
                <w:highlight w:val="none"/>
              </w:rPr>
            </w:pPr>
          </w:p>
        </w:tc>
        <w:tc>
          <w:tcPr>
            <w:tcW w:w="866" w:type="dxa"/>
          </w:tcPr>
          <w:p w14:paraId="4ECF9963">
            <w:pPr>
              <w:rPr>
                <w:rFonts w:hint="eastAsia" w:ascii="宋体" w:hAnsi="宋体" w:eastAsia="宋体" w:cs="宋体"/>
                <w:color w:val="auto"/>
                <w:sz w:val="24"/>
                <w:highlight w:val="none"/>
              </w:rPr>
            </w:pPr>
          </w:p>
        </w:tc>
        <w:tc>
          <w:tcPr>
            <w:tcW w:w="2317" w:type="dxa"/>
            <w:vAlign w:val="center"/>
          </w:tcPr>
          <w:p w14:paraId="06937B5B">
            <w:pPr>
              <w:rPr>
                <w:rFonts w:hint="eastAsia" w:ascii="宋体" w:hAnsi="宋体" w:eastAsia="宋体" w:cs="宋体"/>
                <w:color w:val="auto"/>
                <w:sz w:val="24"/>
                <w:highlight w:val="none"/>
              </w:rPr>
            </w:pPr>
          </w:p>
        </w:tc>
      </w:tr>
      <w:tr w14:paraId="41EB4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1246" w:type="dxa"/>
          </w:tcPr>
          <w:p w14:paraId="083D2DAC">
            <w:pPr>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p>
        </w:tc>
        <w:tc>
          <w:tcPr>
            <w:tcW w:w="2283" w:type="dxa"/>
          </w:tcPr>
          <w:p w14:paraId="762B4A34">
            <w:pPr>
              <w:rPr>
                <w:rFonts w:hint="eastAsia" w:ascii="宋体" w:hAnsi="宋体" w:eastAsia="宋体" w:cs="宋体"/>
                <w:color w:val="auto"/>
                <w:sz w:val="24"/>
                <w:highlight w:val="none"/>
              </w:rPr>
            </w:pPr>
          </w:p>
        </w:tc>
        <w:tc>
          <w:tcPr>
            <w:tcW w:w="2967" w:type="dxa"/>
          </w:tcPr>
          <w:p w14:paraId="3C87889F">
            <w:pPr>
              <w:rPr>
                <w:rFonts w:hint="eastAsia" w:ascii="宋体" w:hAnsi="宋体" w:eastAsia="宋体" w:cs="宋体"/>
                <w:color w:val="auto"/>
                <w:sz w:val="24"/>
                <w:highlight w:val="none"/>
              </w:rPr>
            </w:pPr>
          </w:p>
        </w:tc>
        <w:tc>
          <w:tcPr>
            <w:tcW w:w="866" w:type="dxa"/>
          </w:tcPr>
          <w:p w14:paraId="1511082E">
            <w:pPr>
              <w:rPr>
                <w:rFonts w:hint="eastAsia" w:ascii="宋体" w:hAnsi="宋体" w:eastAsia="宋体" w:cs="宋体"/>
                <w:color w:val="auto"/>
                <w:sz w:val="24"/>
                <w:highlight w:val="none"/>
              </w:rPr>
            </w:pPr>
          </w:p>
        </w:tc>
        <w:tc>
          <w:tcPr>
            <w:tcW w:w="2317" w:type="dxa"/>
            <w:vAlign w:val="center"/>
          </w:tcPr>
          <w:p w14:paraId="630E79A5">
            <w:pPr>
              <w:rPr>
                <w:rFonts w:hint="eastAsia" w:ascii="宋体" w:hAnsi="宋体" w:eastAsia="宋体" w:cs="宋体"/>
                <w:color w:val="auto"/>
                <w:sz w:val="24"/>
                <w:highlight w:val="none"/>
              </w:rPr>
            </w:pPr>
          </w:p>
        </w:tc>
      </w:tr>
    </w:tbl>
    <w:p w14:paraId="3695519A">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注：1、表格中“偏离”一列，投标人只能如实填写“正偏离”、“负偏离”或“无偏离”。凡优于招标文件要求的，按“正偏离”填写；低于招标文件要求的，按“负偏离”填写；满足招标文件要求的，按“无偏离”填写。并在“技术参数（指标）偏离值对比及说明（与招标文件采购需求逐条对照）参数”一列中写明技术参数，本表按参数指标章节内容顺序扩张。</w:t>
      </w:r>
    </w:p>
    <w:p w14:paraId="3F2B4DB3">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2、序号应对应该产品在第</w:t>
      </w:r>
      <w:r>
        <w:rPr>
          <w:rFonts w:hint="eastAsia" w:ascii="宋体" w:hAnsi="宋体" w:eastAsia="宋体" w:cs="宋体"/>
          <w:color w:val="auto"/>
          <w:sz w:val="24"/>
          <w:highlight w:val="none"/>
          <w:lang w:val="en-US" w:eastAsia="zh-CN"/>
        </w:rPr>
        <w:t>四</w:t>
      </w:r>
      <w:r>
        <w:rPr>
          <w:rFonts w:hint="eastAsia" w:ascii="宋体" w:hAnsi="宋体" w:eastAsia="宋体" w:cs="宋体"/>
          <w:color w:val="auto"/>
          <w:sz w:val="24"/>
          <w:highlight w:val="none"/>
        </w:rPr>
        <w:t>章《采购需求》主要技术参数要求中的序号。</w:t>
      </w:r>
    </w:p>
    <w:p w14:paraId="7E4CC627">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3、各投标人必须对招标文件第</w:t>
      </w:r>
      <w:r>
        <w:rPr>
          <w:rFonts w:hint="eastAsia" w:ascii="宋体" w:hAnsi="宋体" w:eastAsia="宋体" w:cs="宋体"/>
          <w:color w:val="auto"/>
          <w:sz w:val="24"/>
          <w:highlight w:val="none"/>
          <w:lang w:val="en-US" w:eastAsia="zh-CN"/>
        </w:rPr>
        <w:t>四</w:t>
      </w:r>
      <w:r>
        <w:rPr>
          <w:rFonts w:hint="eastAsia" w:ascii="宋体" w:hAnsi="宋体" w:eastAsia="宋体" w:cs="宋体"/>
          <w:color w:val="auto"/>
          <w:sz w:val="24"/>
          <w:highlight w:val="none"/>
        </w:rPr>
        <w:t>章《采购需求》中的技术参数要求作出全面、真实的反映，投标人除如实填写技术规格偏离表外，本招标文件中对于指标要求提供证明材料的，投标人应当按要求执行。</w:t>
      </w:r>
    </w:p>
    <w:p w14:paraId="0E84D013">
      <w:pPr>
        <w:pStyle w:val="53"/>
        <w:outlineLvl w:val="9"/>
        <w:rPr>
          <w:rFonts w:hint="eastAsia" w:ascii="宋体" w:hAnsi="宋体" w:eastAsia="宋体" w:cs="宋体"/>
          <w:color w:val="auto"/>
          <w:highlight w:val="none"/>
        </w:rPr>
      </w:pPr>
      <w:r>
        <w:rPr>
          <w:rFonts w:hint="eastAsia" w:ascii="宋体" w:hAnsi="宋体" w:eastAsia="宋体" w:cs="宋体"/>
          <w:color w:val="auto"/>
          <w:highlight w:val="none"/>
        </w:rPr>
        <w:t>4、其他。</w:t>
      </w:r>
    </w:p>
    <w:p w14:paraId="64A6FFAE">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（1）证明材料形式：①第三方机构检验报告，②制造厂商官方网站截图、产品白皮书、技术规格书，③其他具有效力的证明材料（如涉及定制产品必须提供证明材料，且加盖相关证明人鲜章）。</w:t>
      </w:r>
    </w:p>
    <w:p w14:paraId="3D07968D">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证明材料效力：第三方机构检验报告＞制造厂商官方网站截图、产品白皮书、技术规格书＞其他相关证明材料。注：如同一指标有多份证明材料且证明材料内容相互冲突的，以证明材料落款日期最为接近本项目招标公告发布日期的为准。</w:t>
      </w:r>
    </w:p>
    <w:p w14:paraId="153884CE">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证明材料要求：投标人应当确保证明材料的真实有效，提供虚假材料的自行承担不利后果。投标人在填写《产品技术偏离表》时，应当在表格“页码索引”处填写证明材料所在页码。未提供有效证明材料或证明材料中内容与所填报指标不一致的，该指标按不满足处理。</w:t>
      </w:r>
    </w:p>
    <w:p w14:paraId="19C70CFE">
      <w:pPr>
        <w:spacing w:line="480" w:lineRule="auto"/>
        <w:ind w:firstLine="480" w:firstLineChars="200"/>
        <w:jc w:val="left"/>
        <w:rPr>
          <w:rFonts w:hint="eastAsia" w:ascii="宋体" w:hAnsi="宋体" w:eastAsia="宋体" w:cs="宋体"/>
          <w:bCs/>
          <w:color w:val="auto"/>
          <w:sz w:val="24"/>
          <w:highlight w:val="none"/>
        </w:rPr>
      </w:pPr>
    </w:p>
    <w:p w14:paraId="3BE456CD">
      <w:pPr>
        <w:spacing w:line="480" w:lineRule="auto"/>
        <w:ind w:firstLine="480" w:firstLineChars="200"/>
        <w:jc w:val="left"/>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投标人：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(电子签章) </w:t>
      </w:r>
    </w:p>
    <w:p w14:paraId="53980D32">
      <w:pPr>
        <w:spacing w:line="48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法定代表人或其委托代理人：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(电子签章或签名) </w:t>
      </w:r>
    </w:p>
    <w:p w14:paraId="77035029">
      <w:pPr>
        <w:spacing w:line="48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日期：</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年</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月</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日</w:t>
      </w:r>
    </w:p>
    <w:p w14:paraId="1CB3348C">
      <w:pPr>
        <w:spacing w:line="480" w:lineRule="auto"/>
        <w:ind w:firstLine="562" w:firstLineChars="200"/>
        <w:jc w:val="left"/>
        <w:rPr>
          <w:rFonts w:hint="eastAsia" w:ascii="宋体" w:hAnsi="宋体" w:eastAsia="宋体" w:cs="宋体"/>
          <w:bCs/>
          <w:color w:val="auto"/>
          <w:sz w:val="24"/>
          <w:highlight w:val="none"/>
        </w:rPr>
      </w:pPr>
      <w:r>
        <w:rPr>
          <w:rFonts w:hint="eastAsia" w:ascii="宋体" w:hAnsi="宋体" w:eastAsia="宋体" w:cs="宋体"/>
          <w:b/>
          <w:color w:val="auto"/>
          <w:kern w:val="0"/>
          <w:sz w:val="28"/>
          <w:szCs w:val="28"/>
          <w:highlight w:val="none"/>
        </w:rPr>
        <w:br w:type="page"/>
      </w:r>
    </w:p>
    <w:bookmarkEnd w:id="340"/>
    <w:bookmarkEnd w:id="341"/>
    <w:p w14:paraId="009FDCB9">
      <w:pPr>
        <w:pStyle w:val="4"/>
        <w:jc w:val="center"/>
        <w:rPr>
          <w:rFonts w:hint="eastAsia" w:ascii="宋体" w:hAnsi="宋体" w:eastAsia="宋体" w:cs="宋体"/>
          <w:bCs/>
          <w:color w:val="auto"/>
          <w:sz w:val="24"/>
          <w:szCs w:val="24"/>
          <w:highlight w:val="none"/>
        </w:rPr>
      </w:pPr>
      <w:bookmarkStart w:id="343" w:name="_Toc21668"/>
      <w:bookmarkStart w:id="344" w:name="_Toc24569"/>
      <w:bookmarkStart w:id="345" w:name="_Toc1908"/>
      <w:bookmarkStart w:id="346" w:name="_Toc12960"/>
      <w:r>
        <w:rPr>
          <w:rFonts w:hint="eastAsia" w:ascii="宋体" w:hAnsi="宋体" w:eastAsia="宋体" w:cs="宋体"/>
          <w:color w:val="auto"/>
          <w:szCs w:val="28"/>
          <w:highlight w:val="none"/>
        </w:rPr>
        <w:t>（</w:t>
      </w:r>
      <w:r>
        <w:rPr>
          <w:rFonts w:hint="eastAsia" w:ascii="宋体" w:hAnsi="宋体" w:eastAsia="宋体" w:cs="宋体"/>
          <w:color w:val="auto"/>
          <w:szCs w:val="28"/>
          <w:highlight w:val="none"/>
          <w:lang w:val="en-US" w:eastAsia="zh-CN"/>
        </w:rPr>
        <w:t>二</w:t>
      </w:r>
      <w:r>
        <w:rPr>
          <w:rFonts w:hint="eastAsia" w:ascii="宋体" w:hAnsi="宋体" w:eastAsia="宋体" w:cs="宋体"/>
          <w:color w:val="auto"/>
          <w:szCs w:val="28"/>
          <w:highlight w:val="none"/>
        </w:rPr>
        <w:t>）类似项目业绩表</w:t>
      </w:r>
      <w:bookmarkEnd w:id="342"/>
      <w:bookmarkEnd w:id="343"/>
      <w:bookmarkEnd w:id="344"/>
      <w:bookmarkEnd w:id="345"/>
      <w:bookmarkEnd w:id="346"/>
    </w:p>
    <w:tbl>
      <w:tblPr>
        <w:tblStyle w:val="42"/>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48"/>
        <w:gridCol w:w="2036"/>
        <w:gridCol w:w="1215"/>
        <w:gridCol w:w="1705"/>
        <w:gridCol w:w="1321"/>
        <w:gridCol w:w="1396"/>
        <w:gridCol w:w="1018"/>
      </w:tblGrid>
      <w:tr w14:paraId="0C7AD7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25" w:hRule="atLeast"/>
          <w:jc w:val="center"/>
        </w:trPr>
        <w:tc>
          <w:tcPr>
            <w:tcW w:w="948" w:type="dxa"/>
            <w:vAlign w:val="center"/>
          </w:tcPr>
          <w:p w14:paraId="51D1827F">
            <w:pPr>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序号</w:t>
            </w:r>
          </w:p>
        </w:tc>
        <w:tc>
          <w:tcPr>
            <w:tcW w:w="2036" w:type="dxa"/>
            <w:vAlign w:val="center"/>
          </w:tcPr>
          <w:p w14:paraId="6A72E714">
            <w:pPr>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项目名称</w:t>
            </w:r>
          </w:p>
        </w:tc>
        <w:tc>
          <w:tcPr>
            <w:tcW w:w="1215" w:type="dxa"/>
            <w:vAlign w:val="center"/>
          </w:tcPr>
          <w:p w14:paraId="637962E9">
            <w:pPr>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总价</w:t>
            </w:r>
          </w:p>
        </w:tc>
        <w:tc>
          <w:tcPr>
            <w:tcW w:w="1705" w:type="dxa"/>
            <w:vAlign w:val="center"/>
          </w:tcPr>
          <w:p w14:paraId="4F84477F">
            <w:pPr>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采购单位</w:t>
            </w:r>
          </w:p>
        </w:tc>
        <w:tc>
          <w:tcPr>
            <w:tcW w:w="1321" w:type="dxa"/>
          </w:tcPr>
          <w:p w14:paraId="65E085E6">
            <w:pPr>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联系人及联系电话</w:t>
            </w:r>
          </w:p>
        </w:tc>
        <w:tc>
          <w:tcPr>
            <w:tcW w:w="1396" w:type="dxa"/>
            <w:vAlign w:val="center"/>
          </w:tcPr>
          <w:p w14:paraId="2C9E093F">
            <w:pPr>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合同签订时间</w:t>
            </w:r>
          </w:p>
        </w:tc>
        <w:tc>
          <w:tcPr>
            <w:tcW w:w="1018" w:type="dxa"/>
            <w:vAlign w:val="center"/>
          </w:tcPr>
          <w:p w14:paraId="385E0B2A">
            <w:pPr>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备注</w:t>
            </w:r>
          </w:p>
        </w:tc>
      </w:tr>
      <w:tr w14:paraId="4FAFF7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48" w:type="dxa"/>
            <w:vAlign w:val="center"/>
          </w:tcPr>
          <w:p w14:paraId="073DD89E">
            <w:pPr>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w:t>
            </w:r>
          </w:p>
        </w:tc>
        <w:tc>
          <w:tcPr>
            <w:tcW w:w="2036" w:type="dxa"/>
            <w:vAlign w:val="center"/>
          </w:tcPr>
          <w:p w14:paraId="2F9FD875">
            <w:pPr>
              <w:jc w:val="center"/>
              <w:rPr>
                <w:rFonts w:hint="eastAsia" w:ascii="宋体" w:hAnsi="宋体" w:eastAsia="宋体" w:cs="宋体"/>
                <w:bCs/>
                <w:color w:val="auto"/>
                <w:sz w:val="24"/>
                <w:highlight w:val="none"/>
              </w:rPr>
            </w:pPr>
          </w:p>
        </w:tc>
        <w:tc>
          <w:tcPr>
            <w:tcW w:w="1215" w:type="dxa"/>
            <w:vAlign w:val="center"/>
          </w:tcPr>
          <w:p w14:paraId="4E86781B">
            <w:pPr>
              <w:jc w:val="center"/>
              <w:rPr>
                <w:rFonts w:hint="eastAsia" w:ascii="宋体" w:hAnsi="宋体" w:eastAsia="宋体" w:cs="宋体"/>
                <w:bCs/>
                <w:color w:val="auto"/>
                <w:sz w:val="24"/>
                <w:highlight w:val="none"/>
              </w:rPr>
            </w:pPr>
          </w:p>
        </w:tc>
        <w:tc>
          <w:tcPr>
            <w:tcW w:w="1705" w:type="dxa"/>
            <w:vAlign w:val="center"/>
          </w:tcPr>
          <w:p w14:paraId="772D21B8">
            <w:pPr>
              <w:jc w:val="center"/>
              <w:rPr>
                <w:rFonts w:hint="eastAsia" w:ascii="宋体" w:hAnsi="宋体" w:eastAsia="宋体" w:cs="宋体"/>
                <w:bCs/>
                <w:color w:val="auto"/>
                <w:sz w:val="24"/>
                <w:highlight w:val="none"/>
              </w:rPr>
            </w:pPr>
          </w:p>
        </w:tc>
        <w:tc>
          <w:tcPr>
            <w:tcW w:w="1321" w:type="dxa"/>
          </w:tcPr>
          <w:p w14:paraId="4F893460">
            <w:pPr>
              <w:jc w:val="center"/>
              <w:rPr>
                <w:rFonts w:hint="eastAsia" w:ascii="宋体" w:hAnsi="宋体" w:eastAsia="宋体" w:cs="宋体"/>
                <w:bCs/>
                <w:color w:val="auto"/>
                <w:sz w:val="24"/>
                <w:highlight w:val="none"/>
              </w:rPr>
            </w:pPr>
          </w:p>
        </w:tc>
        <w:tc>
          <w:tcPr>
            <w:tcW w:w="1396" w:type="dxa"/>
            <w:vAlign w:val="center"/>
          </w:tcPr>
          <w:p w14:paraId="204CC219">
            <w:pPr>
              <w:jc w:val="center"/>
              <w:rPr>
                <w:rFonts w:hint="eastAsia" w:ascii="宋体" w:hAnsi="宋体" w:eastAsia="宋体" w:cs="宋体"/>
                <w:bCs/>
                <w:color w:val="auto"/>
                <w:sz w:val="24"/>
                <w:highlight w:val="none"/>
              </w:rPr>
            </w:pPr>
          </w:p>
        </w:tc>
        <w:tc>
          <w:tcPr>
            <w:tcW w:w="1018" w:type="dxa"/>
            <w:vAlign w:val="center"/>
          </w:tcPr>
          <w:p w14:paraId="4FE10F80">
            <w:pPr>
              <w:jc w:val="center"/>
              <w:rPr>
                <w:rFonts w:hint="eastAsia" w:ascii="宋体" w:hAnsi="宋体" w:eastAsia="宋体" w:cs="宋体"/>
                <w:bCs/>
                <w:color w:val="auto"/>
                <w:sz w:val="24"/>
                <w:highlight w:val="none"/>
              </w:rPr>
            </w:pPr>
          </w:p>
        </w:tc>
      </w:tr>
      <w:tr w14:paraId="385260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48" w:type="dxa"/>
            <w:vAlign w:val="center"/>
          </w:tcPr>
          <w:p w14:paraId="7755721F">
            <w:pPr>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w:t>
            </w:r>
          </w:p>
        </w:tc>
        <w:tc>
          <w:tcPr>
            <w:tcW w:w="2036" w:type="dxa"/>
            <w:vAlign w:val="center"/>
          </w:tcPr>
          <w:p w14:paraId="20DDC432">
            <w:pPr>
              <w:jc w:val="center"/>
              <w:rPr>
                <w:rFonts w:hint="eastAsia" w:ascii="宋体" w:hAnsi="宋体" w:eastAsia="宋体" w:cs="宋体"/>
                <w:bCs/>
                <w:color w:val="auto"/>
                <w:sz w:val="24"/>
                <w:highlight w:val="none"/>
              </w:rPr>
            </w:pPr>
          </w:p>
        </w:tc>
        <w:tc>
          <w:tcPr>
            <w:tcW w:w="1215" w:type="dxa"/>
            <w:vAlign w:val="center"/>
          </w:tcPr>
          <w:p w14:paraId="770DC516">
            <w:pPr>
              <w:jc w:val="center"/>
              <w:rPr>
                <w:rFonts w:hint="eastAsia" w:ascii="宋体" w:hAnsi="宋体" w:eastAsia="宋体" w:cs="宋体"/>
                <w:bCs/>
                <w:color w:val="auto"/>
                <w:sz w:val="24"/>
                <w:highlight w:val="none"/>
              </w:rPr>
            </w:pPr>
          </w:p>
        </w:tc>
        <w:tc>
          <w:tcPr>
            <w:tcW w:w="1705" w:type="dxa"/>
            <w:vAlign w:val="center"/>
          </w:tcPr>
          <w:p w14:paraId="6C02F9AB">
            <w:pP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 xml:space="preserve">      </w:t>
            </w:r>
          </w:p>
        </w:tc>
        <w:tc>
          <w:tcPr>
            <w:tcW w:w="1321" w:type="dxa"/>
          </w:tcPr>
          <w:p w14:paraId="73FB4D84">
            <w:pPr>
              <w:jc w:val="center"/>
              <w:rPr>
                <w:rFonts w:hint="eastAsia" w:ascii="宋体" w:hAnsi="宋体" w:eastAsia="宋体" w:cs="宋体"/>
                <w:bCs/>
                <w:color w:val="auto"/>
                <w:sz w:val="24"/>
                <w:highlight w:val="none"/>
              </w:rPr>
            </w:pPr>
          </w:p>
        </w:tc>
        <w:tc>
          <w:tcPr>
            <w:tcW w:w="1396" w:type="dxa"/>
            <w:vAlign w:val="center"/>
          </w:tcPr>
          <w:p w14:paraId="0A475535">
            <w:pPr>
              <w:jc w:val="center"/>
              <w:rPr>
                <w:rFonts w:hint="eastAsia" w:ascii="宋体" w:hAnsi="宋体" w:eastAsia="宋体" w:cs="宋体"/>
                <w:bCs/>
                <w:color w:val="auto"/>
                <w:sz w:val="24"/>
                <w:highlight w:val="none"/>
              </w:rPr>
            </w:pPr>
          </w:p>
        </w:tc>
        <w:tc>
          <w:tcPr>
            <w:tcW w:w="1018" w:type="dxa"/>
            <w:vAlign w:val="center"/>
          </w:tcPr>
          <w:p w14:paraId="725BFD2A">
            <w:pPr>
              <w:jc w:val="center"/>
              <w:rPr>
                <w:rFonts w:hint="eastAsia" w:ascii="宋体" w:hAnsi="宋体" w:eastAsia="宋体" w:cs="宋体"/>
                <w:bCs/>
                <w:color w:val="auto"/>
                <w:sz w:val="24"/>
                <w:highlight w:val="none"/>
              </w:rPr>
            </w:pPr>
          </w:p>
        </w:tc>
      </w:tr>
      <w:tr w14:paraId="1C9186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48" w:type="dxa"/>
            <w:vAlign w:val="center"/>
          </w:tcPr>
          <w:p w14:paraId="279A6331">
            <w:pPr>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3</w:t>
            </w:r>
          </w:p>
        </w:tc>
        <w:tc>
          <w:tcPr>
            <w:tcW w:w="2036" w:type="dxa"/>
            <w:vAlign w:val="center"/>
          </w:tcPr>
          <w:p w14:paraId="20067F5F">
            <w:pPr>
              <w:jc w:val="center"/>
              <w:rPr>
                <w:rFonts w:hint="eastAsia" w:ascii="宋体" w:hAnsi="宋体" w:eastAsia="宋体" w:cs="宋体"/>
                <w:bCs/>
                <w:color w:val="auto"/>
                <w:sz w:val="24"/>
                <w:highlight w:val="none"/>
              </w:rPr>
            </w:pPr>
          </w:p>
        </w:tc>
        <w:tc>
          <w:tcPr>
            <w:tcW w:w="1215" w:type="dxa"/>
            <w:vAlign w:val="center"/>
          </w:tcPr>
          <w:p w14:paraId="07E71FD7">
            <w:pPr>
              <w:jc w:val="center"/>
              <w:rPr>
                <w:rFonts w:hint="eastAsia" w:ascii="宋体" w:hAnsi="宋体" w:eastAsia="宋体" w:cs="宋体"/>
                <w:bCs/>
                <w:color w:val="auto"/>
                <w:sz w:val="24"/>
                <w:highlight w:val="none"/>
              </w:rPr>
            </w:pPr>
          </w:p>
        </w:tc>
        <w:tc>
          <w:tcPr>
            <w:tcW w:w="1705" w:type="dxa"/>
            <w:vAlign w:val="center"/>
          </w:tcPr>
          <w:p w14:paraId="67668CDD">
            <w:pPr>
              <w:jc w:val="center"/>
              <w:rPr>
                <w:rFonts w:hint="eastAsia" w:ascii="宋体" w:hAnsi="宋体" w:eastAsia="宋体" w:cs="宋体"/>
                <w:bCs/>
                <w:color w:val="auto"/>
                <w:sz w:val="24"/>
                <w:highlight w:val="none"/>
              </w:rPr>
            </w:pPr>
          </w:p>
        </w:tc>
        <w:tc>
          <w:tcPr>
            <w:tcW w:w="1321" w:type="dxa"/>
          </w:tcPr>
          <w:p w14:paraId="6BC8F59B">
            <w:pPr>
              <w:jc w:val="center"/>
              <w:rPr>
                <w:rFonts w:hint="eastAsia" w:ascii="宋体" w:hAnsi="宋体" w:eastAsia="宋体" w:cs="宋体"/>
                <w:bCs/>
                <w:color w:val="auto"/>
                <w:sz w:val="24"/>
                <w:highlight w:val="none"/>
              </w:rPr>
            </w:pPr>
          </w:p>
        </w:tc>
        <w:tc>
          <w:tcPr>
            <w:tcW w:w="1396" w:type="dxa"/>
            <w:vAlign w:val="center"/>
          </w:tcPr>
          <w:p w14:paraId="4C57F190">
            <w:pPr>
              <w:jc w:val="center"/>
              <w:rPr>
                <w:rFonts w:hint="eastAsia" w:ascii="宋体" w:hAnsi="宋体" w:eastAsia="宋体" w:cs="宋体"/>
                <w:bCs/>
                <w:color w:val="auto"/>
                <w:sz w:val="24"/>
                <w:highlight w:val="none"/>
              </w:rPr>
            </w:pPr>
          </w:p>
        </w:tc>
        <w:tc>
          <w:tcPr>
            <w:tcW w:w="1018" w:type="dxa"/>
            <w:vAlign w:val="center"/>
          </w:tcPr>
          <w:p w14:paraId="2EDF5CB3">
            <w:pPr>
              <w:jc w:val="center"/>
              <w:rPr>
                <w:rFonts w:hint="eastAsia" w:ascii="宋体" w:hAnsi="宋体" w:eastAsia="宋体" w:cs="宋体"/>
                <w:bCs/>
                <w:color w:val="auto"/>
                <w:sz w:val="24"/>
                <w:highlight w:val="none"/>
              </w:rPr>
            </w:pPr>
          </w:p>
        </w:tc>
      </w:tr>
      <w:tr w14:paraId="181042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48" w:type="dxa"/>
            <w:vAlign w:val="center"/>
          </w:tcPr>
          <w:p w14:paraId="38857204">
            <w:pPr>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4</w:t>
            </w:r>
          </w:p>
        </w:tc>
        <w:tc>
          <w:tcPr>
            <w:tcW w:w="2036" w:type="dxa"/>
            <w:vAlign w:val="center"/>
          </w:tcPr>
          <w:p w14:paraId="5C5DFE00">
            <w:pPr>
              <w:jc w:val="center"/>
              <w:rPr>
                <w:rFonts w:hint="eastAsia" w:ascii="宋体" w:hAnsi="宋体" w:eastAsia="宋体" w:cs="宋体"/>
                <w:bCs/>
                <w:color w:val="auto"/>
                <w:sz w:val="24"/>
                <w:highlight w:val="none"/>
              </w:rPr>
            </w:pPr>
          </w:p>
        </w:tc>
        <w:tc>
          <w:tcPr>
            <w:tcW w:w="1215" w:type="dxa"/>
            <w:vAlign w:val="center"/>
          </w:tcPr>
          <w:p w14:paraId="3CFA63C9">
            <w:pPr>
              <w:jc w:val="center"/>
              <w:rPr>
                <w:rFonts w:hint="eastAsia" w:ascii="宋体" w:hAnsi="宋体" w:eastAsia="宋体" w:cs="宋体"/>
                <w:bCs/>
                <w:color w:val="auto"/>
                <w:sz w:val="24"/>
                <w:highlight w:val="none"/>
              </w:rPr>
            </w:pPr>
          </w:p>
        </w:tc>
        <w:tc>
          <w:tcPr>
            <w:tcW w:w="1705" w:type="dxa"/>
            <w:vAlign w:val="center"/>
          </w:tcPr>
          <w:p w14:paraId="55DA95C6">
            <w:pPr>
              <w:jc w:val="center"/>
              <w:rPr>
                <w:rFonts w:hint="eastAsia" w:ascii="宋体" w:hAnsi="宋体" w:eastAsia="宋体" w:cs="宋体"/>
                <w:bCs/>
                <w:color w:val="auto"/>
                <w:sz w:val="24"/>
                <w:highlight w:val="none"/>
              </w:rPr>
            </w:pPr>
          </w:p>
        </w:tc>
        <w:tc>
          <w:tcPr>
            <w:tcW w:w="1321" w:type="dxa"/>
          </w:tcPr>
          <w:p w14:paraId="398062EF">
            <w:pPr>
              <w:jc w:val="center"/>
              <w:rPr>
                <w:rFonts w:hint="eastAsia" w:ascii="宋体" w:hAnsi="宋体" w:eastAsia="宋体" w:cs="宋体"/>
                <w:bCs/>
                <w:color w:val="auto"/>
                <w:sz w:val="24"/>
                <w:highlight w:val="none"/>
              </w:rPr>
            </w:pPr>
          </w:p>
        </w:tc>
        <w:tc>
          <w:tcPr>
            <w:tcW w:w="1396" w:type="dxa"/>
            <w:vAlign w:val="center"/>
          </w:tcPr>
          <w:p w14:paraId="49E51FDC">
            <w:pPr>
              <w:jc w:val="center"/>
              <w:rPr>
                <w:rFonts w:hint="eastAsia" w:ascii="宋体" w:hAnsi="宋体" w:eastAsia="宋体" w:cs="宋体"/>
                <w:bCs/>
                <w:color w:val="auto"/>
                <w:sz w:val="24"/>
                <w:highlight w:val="none"/>
              </w:rPr>
            </w:pPr>
          </w:p>
        </w:tc>
        <w:tc>
          <w:tcPr>
            <w:tcW w:w="1018" w:type="dxa"/>
            <w:vAlign w:val="center"/>
          </w:tcPr>
          <w:p w14:paraId="389287E9">
            <w:pPr>
              <w:jc w:val="center"/>
              <w:rPr>
                <w:rFonts w:hint="eastAsia" w:ascii="宋体" w:hAnsi="宋体" w:eastAsia="宋体" w:cs="宋体"/>
                <w:bCs/>
                <w:color w:val="auto"/>
                <w:sz w:val="24"/>
                <w:highlight w:val="none"/>
              </w:rPr>
            </w:pPr>
          </w:p>
        </w:tc>
      </w:tr>
      <w:tr w14:paraId="0C1EB9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48" w:type="dxa"/>
            <w:vAlign w:val="center"/>
          </w:tcPr>
          <w:p w14:paraId="55F3D23D">
            <w:pPr>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5</w:t>
            </w:r>
          </w:p>
        </w:tc>
        <w:tc>
          <w:tcPr>
            <w:tcW w:w="2036" w:type="dxa"/>
            <w:vAlign w:val="center"/>
          </w:tcPr>
          <w:p w14:paraId="16C6780A">
            <w:pPr>
              <w:jc w:val="center"/>
              <w:rPr>
                <w:rFonts w:hint="eastAsia" w:ascii="宋体" w:hAnsi="宋体" w:eastAsia="宋体" w:cs="宋体"/>
                <w:bCs/>
                <w:color w:val="auto"/>
                <w:sz w:val="24"/>
                <w:highlight w:val="none"/>
              </w:rPr>
            </w:pPr>
          </w:p>
        </w:tc>
        <w:tc>
          <w:tcPr>
            <w:tcW w:w="1215" w:type="dxa"/>
            <w:vAlign w:val="center"/>
          </w:tcPr>
          <w:p w14:paraId="0B9B4D2E">
            <w:pPr>
              <w:jc w:val="center"/>
              <w:rPr>
                <w:rFonts w:hint="eastAsia" w:ascii="宋体" w:hAnsi="宋体" w:eastAsia="宋体" w:cs="宋体"/>
                <w:bCs/>
                <w:color w:val="auto"/>
                <w:sz w:val="24"/>
                <w:highlight w:val="none"/>
              </w:rPr>
            </w:pPr>
          </w:p>
        </w:tc>
        <w:tc>
          <w:tcPr>
            <w:tcW w:w="1705" w:type="dxa"/>
            <w:vAlign w:val="center"/>
          </w:tcPr>
          <w:p w14:paraId="0052433C">
            <w:pPr>
              <w:jc w:val="center"/>
              <w:rPr>
                <w:rFonts w:hint="eastAsia" w:ascii="宋体" w:hAnsi="宋体" w:eastAsia="宋体" w:cs="宋体"/>
                <w:bCs/>
                <w:color w:val="auto"/>
                <w:sz w:val="24"/>
                <w:highlight w:val="none"/>
              </w:rPr>
            </w:pPr>
          </w:p>
        </w:tc>
        <w:tc>
          <w:tcPr>
            <w:tcW w:w="1321" w:type="dxa"/>
          </w:tcPr>
          <w:p w14:paraId="6095374F">
            <w:pPr>
              <w:jc w:val="center"/>
              <w:rPr>
                <w:rFonts w:hint="eastAsia" w:ascii="宋体" w:hAnsi="宋体" w:eastAsia="宋体" w:cs="宋体"/>
                <w:bCs/>
                <w:color w:val="auto"/>
                <w:sz w:val="24"/>
                <w:highlight w:val="none"/>
              </w:rPr>
            </w:pPr>
          </w:p>
        </w:tc>
        <w:tc>
          <w:tcPr>
            <w:tcW w:w="1396" w:type="dxa"/>
            <w:vAlign w:val="center"/>
          </w:tcPr>
          <w:p w14:paraId="511F39D9">
            <w:pPr>
              <w:jc w:val="center"/>
              <w:rPr>
                <w:rFonts w:hint="eastAsia" w:ascii="宋体" w:hAnsi="宋体" w:eastAsia="宋体" w:cs="宋体"/>
                <w:bCs/>
                <w:color w:val="auto"/>
                <w:sz w:val="24"/>
                <w:highlight w:val="none"/>
              </w:rPr>
            </w:pPr>
          </w:p>
        </w:tc>
        <w:tc>
          <w:tcPr>
            <w:tcW w:w="1018" w:type="dxa"/>
            <w:vAlign w:val="center"/>
          </w:tcPr>
          <w:p w14:paraId="18301BFC">
            <w:pPr>
              <w:jc w:val="center"/>
              <w:rPr>
                <w:rFonts w:hint="eastAsia" w:ascii="宋体" w:hAnsi="宋体" w:eastAsia="宋体" w:cs="宋体"/>
                <w:bCs/>
                <w:color w:val="auto"/>
                <w:sz w:val="24"/>
                <w:highlight w:val="none"/>
              </w:rPr>
            </w:pPr>
          </w:p>
        </w:tc>
      </w:tr>
      <w:tr w14:paraId="0B3032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48" w:type="dxa"/>
            <w:vAlign w:val="center"/>
          </w:tcPr>
          <w:p w14:paraId="71C5E482">
            <w:pPr>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w:t>
            </w:r>
          </w:p>
        </w:tc>
        <w:tc>
          <w:tcPr>
            <w:tcW w:w="2036" w:type="dxa"/>
            <w:vAlign w:val="center"/>
          </w:tcPr>
          <w:p w14:paraId="0B8E8627">
            <w:pPr>
              <w:jc w:val="center"/>
              <w:rPr>
                <w:rFonts w:hint="eastAsia" w:ascii="宋体" w:hAnsi="宋体" w:eastAsia="宋体" w:cs="宋体"/>
                <w:bCs/>
                <w:color w:val="auto"/>
                <w:sz w:val="24"/>
                <w:highlight w:val="none"/>
              </w:rPr>
            </w:pPr>
          </w:p>
        </w:tc>
        <w:tc>
          <w:tcPr>
            <w:tcW w:w="1215" w:type="dxa"/>
            <w:vAlign w:val="center"/>
          </w:tcPr>
          <w:p w14:paraId="3C34CB16">
            <w:pPr>
              <w:jc w:val="center"/>
              <w:rPr>
                <w:rFonts w:hint="eastAsia" w:ascii="宋体" w:hAnsi="宋体" w:eastAsia="宋体" w:cs="宋体"/>
                <w:bCs/>
                <w:color w:val="auto"/>
                <w:sz w:val="24"/>
                <w:highlight w:val="none"/>
              </w:rPr>
            </w:pPr>
          </w:p>
        </w:tc>
        <w:tc>
          <w:tcPr>
            <w:tcW w:w="1705" w:type="dxa"/>
            <w:vAlign w:val="center"/>
          </w:tcPr>
          <w:p w14:paraId="6DBD7678">
            <w:pPr>
              <w:jc w:val="center"/>
              <w:rPr>
                <w:rFonts w:hint="eastAsia" w:ascii="宋体" w:hAnsi="宋体" w:eastAsia="宋体" w:cs="宋体"/>
                <w:bCs/>
                <w:color w:val="auto"/>
                <w:sz w:val="24"/>
                <w:highlight w:val="none"/>
              </w:rPr>
            </w:pPr>
          </w:p>
        </w:tc>
        <w:tc>
          <w:tcPr>
            <w:tcW w:w="1321" w:type="dxa"/>
          </w:tcPr>
          <w:p w14:paraId="3B2CD4BB">
            <w:pPr>
              <w:jc w:val="center"/>
              <w:rPr>
                <w:rFonts w:hint="eastAsia" w:ascii="宋体" w:hAnsi="宋体" w:eastAsia="宋体" w:cs="宋体"/>
                <w:bCs/>
                <w:color w:val="auto"/>
                <w:sz w:val="24"/>
                <w:highlight w:val="none"/>
              </w:rPr>
            </w:pPr>
          </w:p>
        </w:tc>
        <w:tc>
          <w:tcPr>
            <w:tcW w:w="1396" w:type="dxa"/>
            <w:vAlign w:val="center"/>
          </w:tcPr>
          <w:p w14:paraId="563BBAF9">
            <w:pPr>
              <w:jc w:val="center"/>
              <w:rPr>
                <w:rFonts w:hint="eastAsia" w:ascii="宋体" w:hAnsi="宋体" w:eastAsia="宋体" w:cs="宋体"/>
                <w:bCs/>
                <w:color w:val="auto"/>
                <w:sz w:val="24"/>
                <w:highlight w:val="none"/>
              </w:rPr>
            </w:pPr>
          </w:p>
        </w:tc>
        <w:tc>
          <w:tcPr>
            <w:tcW w:w="1018" w:type="dxa"/>
            <w:vAlign w:val="center"/>
          </w:tcPr>
          <w:p w14:paraId="765DDB77">
            <w:pPr>
              <w:jc w:val="center"/>
              <w:rPr>
                <w:rFonts w:hint="eastAsia" w:ascii="宋体" w:hAnsi="宋体" w:eastAsia="宋体" w:cs="宋体"/>
                <w:bCs/>
                <w:color w:val="auto"/>
                <w:sz w:val="24"/>
                <w:highlight w:val="none"/>
              </w:rPr>
            </w:pPr>
          </w:p>
        </w:tc>
      </w:tr>
    </w:tbl>
    <w:p w14:paraId="16DCE03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val="0"/>
          <w:color w:val="auto"/>
          <w:sz w:val="24"/>
          <w:highlight w:val="none"/>
        </w:rPr>
      </w:pPr>
      <w:r>
        <w:rPr>
          <w:rFonts w:hint="eastAsia" w:ascii="宋体" w:hAnsi="宋体" w:eastAsia="宋体" w:cs="宋体"/>
          <w:b/>
          <w:bCs w:val="0"/>
          <w:color w:val="auto"/>
          <w:spacing w:val="10"/>
          <w:kern w:val="0"/>
          <w:sz w:val="24"/>
          <w:highlight w:val="none"/>
        </w:rPr>
        <w:t>注：提供2023年1月1日至投标文件提交截止时间前已完成或正在实施过程中的类似业绩的合同或中标/成交通知书扫描件等证明材料。</w:t>
      </w:r>
    </w:p>
    <w:p w14:paraId="7162DBDA">
      <w:pPr>
        <w:ind w:firstLine="1205" w:firstLineChars="500"/>
        <w:rPr>
          <w:rFonts w:hint="eastAsia" w:ascii="宋体" w:hAnsi="宋体" w:eastAsia="宋体" w:cs="宋体"/>
          <w:b/>
          <w:bCs/>
          <w:color w:val="auto"/>
          <w:sz w:val="24"/>
          <w:highlight w:val="none"/>
        </w:rPr>
      </w:pPr>
    </w:p>
    <w:p w14:paraId="5ACBFDEA">
      <w:pPr>
        <w:ind w:firstLine="1205" w:firstLineChars="500"/>
        <w:rPr>
          <w:rFonts w:hint="eastAsia" w:ascii="宋体" w:hAnsi="宋体" w:eastAsia="宋体" w:cs="宋体"/>
          <w:b/>
          <w:bCs/>
          <w:color w:val="auto"/>
          <w:sz w:val="24"/>
          <w:highlight w:val="none"/>
        </w:rPr>
      </w:pPr>
    </w:p>
    <w:p w14:paraId="1E4601FD">
      <w:pPr>
        <w:spacing w:line="480" w:lineRule="auto"/>
        <w:ind w:firstLine="480" w:firstLineChars="200"/>
        <w:jc w:val="left"/>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投标人：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(电子签章) </w:t>
      </w:r>
    </w:p>
    <w:p w14:paraId="1DB35A57">
      <w:pPr>
        <w:spacing w:line="48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法定代表人或其委托代理人：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(电子签章或签名) </w:t>
      </w:r>
    </w:p>
    <w:p w14:paraId="221E8807">
      <w:pPr>
        <w:spacing w:line="48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日期：</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年</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月</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日</w:t>
      </w:r>
    </w:p>
    <w:p w14:paraId="1D039D13">
      <w:pP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br w:type="page"/>
      </w:r>
    </w:p>
    <w:p w14:paraId="19F2AC3F">
      <w:pPr>
        <w:pStyle w:val="4"/>
        <w:jc w:val="center"/>
        <w:rPr>
          <w:rFonts w:hint="eastAsia" w:ascii="宋体" w:hAnsi="宋体" w:eastAsia="宋体" w:cs="宋体"/>
          <w:color w:val="auto"/>
          <w:kern w:val="2"/>
          <w:sz w:val="24"/>
          <w:szCs w:val="24"/>
          <w:highlight w:val="none"/>
        </w:rPr>
      </w:pPr>
      <w:r>
        <w:rPr>
          <w:rFonts w:hint="eastAsia" w:ascii="宋体" w:hAnsi="宋体" w:eastAsia="宋体" w:cs="宋体"/>
          <w:color w:val="auto"/>
          <w:szCs w:val="28"/>
          <w:highlight w:val="none"/>
        </w:rPr>
        <w:t>（</w:t>
      </w:r>
      <w:r>
        <w:rPr>
          <w:rFonts w:hint="eastAsia" w:ascii="宋体" w:hAnsi="宋体" w:eastAsia="宋体" w:cs="宋体"/>
          <w:color w:val="auto"/>
          <w:szCs w:val="28"/>
          <w:highlight w:val="none"/>
          <w:lang w:val="en-US" w:eastAsia="zh-CN"/>
        </w:rPr>
        <w:t>三</w:t>
      </w:r>
      <w:r>
        <w:rPr>
          <w:rFonts w:hint="eastAsia" w:ascii="宋体" w:hAnsi="宋体" w:eastAsia="宋体" w:cs="宋体"/>
          <w:color w:val="auto"/>
          <w:szCs w:val="28"/>
          <w:highlight w:val="none"/>
        </w:rPr>
        <w:t>）</w:t>
      </w:r>
      <w:r>
        <w:rPr>
          <w:rFonts w:hint="eastAsia" w:ascii="宋体" w:hAnsi="宋体" w:eastAsia="宋体" w:cs="宋体"/>
          <w:b/>
          <w:color w:val="auto"/>
          <w:spacing w:val="0"/>
          <w:kern w:val="0"/>
          <w:sz w:val="28"/>
          <w:szCs w:val="28"/>
          <w:highlight w:val="none"/>
          <w:lang w:val="en-US" w:eastAsia="zh-CN" w:bidi="ar-SA"/>
        </w:rPr>
        <w:t>拟派团队人员情况表</w:t>
      </w:r>
    </w:p>
    <w:tbl>
      <w:tblPr>
        <w:tblStyle w:val="42"/>
        <w:tblW w:w="1041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43"/>
        <w:gridCol w:w="1215"/>
        <w:gridCol w:w="885"/>
        <w:gridCol w:w="1040"/>
        <w:gridCol w:w="2305"/>
        <w:gridCol w:w="1732"/>
        <w:gridCol w:w="2494"/>
      </w:tblGrid>
      <w:tr w14:paraId="7B5CCF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43" w:type="dxa"/>
            <w:tcBorders>
              <w:top w:val="single" w:color="000000" w:sz="4" w:space="0"/>
              <w:left w:val="single" w:color="000000" w:sz="4" w:space="0"/>
              <w:bottom w:val="single" w:color="000000" w:sz="4" w:space="0"/>
              <w:right w:val="single" w:color="000000" w:sz="4" w:space="0"/>
            </w:tcBorders>
            <w:vAlign w:val="center"/>
          </w:tcPr>
          <w:p w14:paraId="04E116D0">
            <w:pPr>
              <w:adjustRightInd w:val="0"/>
              <w:snapToGrid w:val="0"/>
              <w:spacing w:line="321" w:lineRule="auto"/>
              <w:jc w:val="center"/>
              <w:rPr>
                <w:rFonts w:hint="eastAsia" w:ascii="宋体" w:hAnsi="宋体" w:eastAsia="宋体" w:cs="宋体"/>
                <w:b/>
                <w:color w:val="auto"/>
                <w:spacing w:val="6"/>
                <w:sz w:val="24"/>
                <w:highlight w:val="none"/>
              </w:rPr>
            </w:pPr>
            <w:r>
              <w:rPr>
                <w:rFonts w:hint="eastAsia" w:ascii="宋体" w:hAnsi="宋体" w:eastAsia="宋体" w:cs="宋体"/>
                <w:b/>
                <w:color w:val="auto"/>
                <w:sz w:val="24"/>
                <w:highlight w:val="none"/>
              </w:rPr>
              <w:t>序号</w:t>
            </w:r>
          </w:p>
        </w:tc>
        <w:tc>
          <w:tcPr>
            <w:tcW w:w="1215" w:type="dxa"/>
            <w:tcBorders>
              <w:top w:val="single" w:color="000000" w:sz="4" w:space="0"/>
              <w:left w:val="single" w:color="000000" w:sz="4" w:space="0"/>
              <w:bottom w:val="single" w:color="000000" w:sz="4" w:space="0"/>
              <w:right w:val="single" w:color="000000" w:sz="4" w:space="0"/>
            </w:tcBorders>
            <w:vAlign w:val="center"/>
          </w:tcPr>
          <w:p w14:paraId="665955C5">
            <w:pPr>
              <w:adjustRightInd w:val="0"/>
              <w:snapToGrid w:val="0"/>
              <w:spacing w:line="321" w:lineRule="auto"/>
              <w:jc w:val="center"/>
              <w:rPr>
                <w:rFonts w:hint="eastAsia" w:ascii="宋体" w:hAnsi="宋体" w:eastAsia="宋体" w:cs="宋体"/>
                <w:b/>
                <w:color w:val="auto"/>
                <w:spacing w:val="6"/>
                <w:sz w:val="24"/>
                <w:highlight w:val="none"/>
              </w:rPr>
            </w:pPr>
            <w:r>
              <w:rPr>
                <w:rFonts w:hint="eastAsia" w:ascii="宋体" w:hAnsi="宋体" w:eastAsia="宋体" w:cs="宋体"/>
                <w:b/>
                <w:color w:val="auto"/>
                <w:sz w:val="24"/>
                <w:highlight w:val="none"/>
              </w:rPr>
              <w:t>姓名</w:t>
            </w:r>
          </w:p>
        </w:tc>
        <w:tc>
          <w:tcPr>
            <w:tcW w:w="885" w:type="dxa"/>
            <w:tcBorders>
              <w:top w:val="single" w:color="000000" w:sz="4" w:space="0"/>
              <w:left w:val="single" w:color="000000" w:sz="4" w:space="0"/>
              <w:bottom w:val="single" w:color="000000" w:sz="4" w:space="0"/>
              <w:right w:val="single" w:color="000000" w:sz="4" w:space="0"/>
            </w:tcBorders>
            <w:vAlign w:val="center"/>
          </w:tcPr>
          <w:p w14:paraId="607323D7">
            <w:pPr>
              <w:adjustRightInd w:val="0"/>
              <w:snapToGrid w:val="0"/>
              <w:spacing w:line="321"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年龄</w:t>
            </w:r>
          </w:p>
        </w:tc>
        <w:tc>
          <w:tcPr>
            <w:tcW w:w="1040" w:type="dxa"/>
            <w:tcBorders>
              <w:top w:val="single" w:color="000000" w:sz="4" w:space="0"/>
              <w:left w:val="single" w:color="000000" w:sz="4" w:space="0"/>
              <w:bottom w:val="single" w:color="000000" w:sz="4" w:space="0"/>
              <w:right w:val="single" w:color="000000" w:sz="4" w:space="0"/>
            </w:tcBorders>
            <w:vAlign w:val="center"/>
          </w:tcPr>
          <w:p w14:paraId="54C9CCA3">
            <w:pPr>
              <w:adjustRightInd w:val="0"/>
              <w:snapToGrid w:val="0"/>
              <w:spacing w:line="321"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学历</w:t>
            </w:r>
          </w:p>
        </w:tc>
        <w:tc>
          <w:tcPr>
            <w:tcW w:w="2305" w:type="dxa"/>
            <w:tcBorders>
              <w:top w:val="single" w:color="000000" w:sz="4" w:space="0"/>
              <w:left w:val="single" w:color="000000" w:sz="4" w:space="0"/>
              <w:bottom w:val="single" w:color="000000" w:sz="4" w:space="0"/>
              <w:right w:val="single" w:color="000000" w:sz="4" w:space="0"/>
            </w:tcBorders>
            <w:vAlign w:val="center"/>
          </w:tcPr>
          <w:p w14:paraId="1E57B14C">
            <w:pPr>
              <w:adjustRightInd w:val="0"/>
              <w:snapToGrid w:val="0"/>
              <w:spacing w:line="321"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执业或从业资格证</w:t>
            </w:r>
          </w:p>
        </w:tc>
        <w:tc>
          <w:tcPr>
            <w:tcW w:w="1732" w:type="dxa"/>
            <w:tcBorders>
              <w:top w:val="single" w:color="000000" w:sz="4" w:space="0"/>
              <w:left w:val="single" w:color="000000" w:sz="4" w:space="0"/>
              <w:bottom w:val="single" w:color="000000" w:sz="4" w:space="0"/>
              <w:right w:val="single" w:color="000000" w:sz="4" w:space="0"/>
            </w:tcBorders>
            <w:vAlign w:val="center"/>
          </w:tcPr>
          <w:p w14:paraId="3F1430BE">
            <w:pPr>
              <w:adjustRightInd w:val="0"/>
              <w:snapToGrid w:val="0"/>
              <w:spacing w:line="321" w:lineRule="auto"/>
              <w:jc w:val="center"/>
              <w:rPr>
                <w:rFonts w:hint="eastAsia" w:ascii="宋体" w:hAnsi="宋体" w:eastAsia="宋体" w:cs="宋体"/>
                <w:b/>
                <w:color w:val="auto"/>
                <w:spacing w:val="6"/>
                <w:sz w:val="24"/>
                <w:highlight w:val="none"/>
              </w:rPr>
            </w:pPr>
            <w:r>
              <w:rPr>
                <w:rFonts w:hint="eastAsia" w:ascii="宋体" w:hAnsi="宋体" w:eastAsia="宋体" w:cs="宋体"/>
                <w:b/>
                <w:color w:val="auto"/>
                <w:sz w:val="24"/>
                <w:highlight w:val="none"/>
              </w:rPr>
              <w:t>拟担任职务</w:t>
            </w:r>
          </w:p>
        </w:tc>
        <w:tc>
          <w:tcPr>
            <w:tcW w:w="2494" w:type="dxa"/>
            <w:tcBorders>
              <w:top w:val="single" w:color="000000" w:sz="4" w:space="0"/>
              <w:left w:val="single" w:color="000000" w:sz="4" w:space="0"/>
              <w:bottom w:val="single" w:color="000000" w:sz="4" w:space="0"/>
              <w:right w:val="single" w:color="000000" w:sz="4" w:space="0"/>
            </w:tcBorders>
            <w:vAlign w:val="center"/>
          </w:tcPr>
          <w:p w14:paraId="60E34C5C">
            <w:pPr>
              <w:adjustRightInd w:val="0"/>
              <w:snapToGrid w:val="0"/>
              <w:spacing w:line="321" w:lineRule="auto"/>
              <w:jc w:val="center"/>
              <w:rPr>
                <w:rFonts w:hint="eastAsia" w:ascii="宋体" w:hAnsi="宋体" w:eastAsia="宋体" w:cs="宋体"/>
                <w:b/>
                <w:color w:val="auto"/>
                <w:spacing w:val="6"/>
                <w:sz w:val="24"/>
                <w:highlight w:val="none"/>
              </w:rPr>
            </w:pPr>
            <w:r>
              <w:rPr>
                <w:rFonts w:hint="eastAsia" w:ascii="宋体" w:hAnsi="宋体" w:eastAsia="宋体" w:cs="宋体"/>
                <w:b/>
                <w:color w:val="auto"/>
                <w:sz w:val="24"/>
                <w:highlight w:val="none"/>
              </w:rPr>
              <w:t>经验及承担过的项目</w:t>
            </w:r>
          </w:p>
        </w:tc>
      </w:tr>
      <w:tr w14:paraId="64E173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43" w:type="dxa"/>
            <w:tcBorders>
              <w:top w:val="single" w:color="000000" w:sz="4" w:space="0"/>
              <w:left w:val="single" w:color="000000" w:sz="4" w:space="0"/>
              <w:bottom w:val="single" w:color="000000" w:sz="4" w:space="0"/>
              <w:right w:val="single" w:color="000000" w:sz="4" w:space="0"/>
            </w:tcBorders>
            <w:vAlign w:val="center"/>
          </w:tcPr>
          <w:p w14:paraId="473BED01">
            <w:pPr>
              <w:adjustRightInd w:val="0"/>
              <w:snapToGrid w:val="0"/>
              <w:spacing w:line="321" w:lineRule="auto"/>
              <w:jc w:val="center"/>
              <w:rPr>
                <w:rFonts w:hint="eastAsia" w:ascii="宋体" w:hAnsi="宋体" w:eastAsia="宋体" w:cs="宋体"/>
                <w:color w:val="auto"/>
                <w:spacing w:val="6"/>
                <w:sz w:val="24"/>
                <w:highlight w:val="none"/>
              </w:rPr>
            </w:pPr>
          </w:p>
        </w:tc>
        <w:tc>
          <w:tcPr>
            <w:tcW w:w="1215" w:type="dxa"/>
            <w:tcBorders>
              <w:top w:val="single" w:color="000000" w:sz="4" w:space="0"/>
              <w:left w:val="single" w:color="000000" w:sz="4" w:space="0"/>
              <w:bottom w:val="single" w:color="000000" w:sz="4" w:space="0"/>
              <w:right w:val="single" w:color="000000" w:sz="4" w:space="0"/>
            </w:tcBorders>
            <w:vAlign w:val="center"/>
          </w:tcPr>
          <w:p w14:paraId="3B3D810C">
            <w:pPr>
              <w:adjustRightInd w:val="0"/>
              <w:snapToGrid w:val="0"/>
              <w:spacing w:line="321" w:lineRule="auto"/>
              <w:jc w:val="center"/>
              <w:rPr>
                <w:rFonts w:hint="eastAsia" w:ascii="宋体" w:hAnsi="宋体" w:eastAsia="宋体" w:cs="宋体"/>
                <w:color w:val="auto"/>
                <w:spacing w:val="6"/>
                <w:sz w:val="24"/>
                <w:highlight w:val="none"/>
              </w:rPr>
            </w:pPr>
          </w:p>
        </w:tc>
        <w:tc>
          <w:tcPr>
            <w:tcW w:w="885" w:type="dxa"/>
            <w:tcBorders>
              <w:top w:val="single" w:color="000000" w:sz="4" w:space="0"/>
              <w:left w:val="single" w:color="000000" w:sz="4" w:space="0"/>
              <w:bottom w:val="single" w:color="000000" w:sz="4" w:space="0"/>
              <w:right w:val="single" w:color="000000" w:sz="4" w:space="0"/>
            </w:tcBorders>
            <w:vAlign w:val="center"/>
          </w:tcPr>
          <w:p w14:paraId="2D3D1C9F">
            <w:pPr>
              <w:adjustRightInd w:val="0"/>
              <w:snapToGrid w:val="0"/>
              <w:spacing w:line="321" w:lineRule="auto"/>
              <w:jc w:val="center"/>
              <w:rPr>
                <w:rFonts w:hint="eastAsia" w:ascii="宋体" w:hAnsi="宋体" w:eastAsia="宋体" w:cs="宋体"/>
                <w:color w:val="auto"/>
                <w:spacing w:val="6"/>
                <w:sz w:val="24"/>
                <w:highlight w:val="none"/>
              </w:rPr>
            </w:pPr>
          </w:p>
        </w:tc>
        <w:tc>
          <w:tcPr>
            <w:tcW w:w="1040" w:type="dxa"/>
            <w:tcBorders>
              <w:top w:val="single" w:color="000000" w:sz="4" w:space="0"/>
              <w:left w:val="single" w:color="000000" w:sz="4" w:space="0"/>
              <w:bottom w:val="single" w:color="000000" w:sz="4" w:space="0"/>
              <w:right w:val="single" w:color="000000" w:sz="4" w:space="0"/>
            </w:tcBorders>
            <w:vAlign w:val="center"/>
          </w:tcPr>
          <w:p w14:paraId="04FAD0B7">
            <w:pPr>
              <w:adjustRightInd w:val="0"/>
              <w:snapToGrid w:val="0"/>
              <w:spacing w:line="321" w:lineRule="auto"/>
              <w:jc w:val="center"/>
              <w:rPr>
                <w:rFonts w:hint="eastAsia" w:ascii="宋体" w:hAnsi="宋体" w:eastAsia="宋体" w:cs="宋体"/>
                <w:color w:val="auto"/>
                <w:spacing w:val="6"/>
                <w:sz w:val="24"/>
                <w:highlight w:val="none"/>
              </w:rPr>
            </w:pPr>
          </w:p>
        </w:tc>
        <w:tc>
          <w:tcPr>
            <w:tcW w:w="2305" w:type="dxa"/>
            <w:tcBorders>
              <w:top w:val="single" w:color="000000" w:sz="4" w:space="0"/>
              <w:left w:val="single" w:color="000000" w:sz="4" w:space="0"/>
              <w:bottom w:val="single" w:color="000000" w:sz="4" w:space="0"/>
              <w:right w:val="single" w:color="000000" w:sz="4" w:space="0"/>
            </w:tcBorders>
            <w:vAlign w:val="center"/>
          </w:tcPr>
          <w:p w14:paraId="1B2082BD">
            <w:pPr>
              <w:adjustRightInd w:val="0"/>
              <w:snapToGrid w:val="0"/>
              <w:spacing w:line="321" w:lineRule="auto"/>
              <w:jc w:val="center"/>
              <w:rPr>
                <w:rFonts w:hint="eastAsia" w:ascii="宋体" w:hAnsi="宋体" w:eastAsia="宋体" w:cs="宋体"/>
                <w:color w:val="auto"/>
                <w:spacing w:val="6"/>
                <w:sz w:val="24"/>
                <w:highlight w:val="none"/>
              </w:rPr>
            </w:pPr>
          </w:p>
        </w:tc>
        <w:tc>
          <w:tcPr>
            <w:tcW w:w="1732" w:type="dxa"/>
            <w:tcBorders>
              <w:top w:val="single" w:color="000000" w:sz="4" w:space="0"/>
              <w:left w:val="single" w:color="000000" w:sz="4" w:space="0"/>
              <w:bottom w:val="single" w:color="000000" w:sz="4" w:space="0"/>
              <w:right w:val="single" w:color="000000" w:sz="4" w:space="0"/>
            </w:tcBorders>
            <w:vAlign w:val="center"/>
          </w:tcPr>
          <w:p w14:paraId="3792AA52">
            <w:pPr>
              <w:adjustRightInd w:val="0"/>
              <w:snapToGrid w:val="0"/>
              <w:spacing w:line="321" w:lineRule="auto"/>
              <w:jc w:val="center"/>
              <w:rPr>
                <w:rFonts w:hint="eastAsia" w:ascii="宋体" w:hAnsi="宋体" w:eastAsia="宋体" w:cs="宋体"/>
                <w:color w:val="auto"/>
                <w:spacing w:val="6"/>
                <w:sz w:val="24"/>
                <w:highlight w:val="none"/>
              </w:rPr>
            </w:pPr>
          </w:p>
        </w:tc>
        <w:tc>
          <w:tcPr>
            <w:tcW w:w="2494" w:type="dxa"/>
            <w:tcBorders>
              <w:top w:val="single" w:color="000000" w:sz="4" w:space="0"/>
              <w:left w:val="single" w:color="000000" w:sz="4" w:space="0"/>
              <w:bottom w:val="single" w:color="000000" w:sz="4" w:space="0"/>
              <w:right w:val="single" w:color="000000" w:sz="4" w:space="0"/>
            </w:tcBorders>
            <w:vAlign w:val="center"/>
          </w:tcPr>
          <w:p w14:paraId="50087B2F">
            <w:pPr>
              <w:adjustRightInd w:val="0"/>
              <w:snapToGrid w:val="0"/>
              <w:spacing w:line="321" w:lineRule="auto"/>
              <w:jc w:val="center"/>
              <w:rPr>
                <w:rFonts w:hint="eastAsia" w:ascii="宋体" w:hAnsi="宋体" w:eastAsia="宋体" w:cs="宋体"/>
                <w:color w:val="auto"/>
                <w:spacing w:val="6"/>
                <w:sz w:val="24"/>
                <w:highlight w:val="none"/>
              </w:rPr>
            </w:pPr>
          </w:p>
        </w:tc>
      </w:tr>
      <w:tr w14:paraId="3B5F9D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43" w:type="dxa"/>
            <w:tcBorders>
              <w:top w:val="single" w:color="000000" w:sz="4" w:space="0"/>
              <w:left w:val="single" w:color="000000" w:sz="4" w:space="0"/>
              <w:bottom w:val="single" w:color="000000" w:sz="4" w:space="0"/>
              <w:right w:val="single" w:color="000000" w:sz="4" w:space="0"/>
            </w:tcBorders>
            <w:vAlign w:val="center"/>
          </w:tcPr>
          <w:p w14:paraId="4C4F867E">
            <w:pPr>
              <w:adjustRightInd w:val="0"/>
              <w:snapToGrid w:val="0"/>
              <w:spacing w:line="321" w:lineRule="auto"/>
              <w:jc w:val="center"/>
              <w:rPr>
                <w:rFonts w:hint="eastAsia" w:ascii="宋体" w:hAnsi="宋体" w:eastAsia="宋体" w:cs="宋体"/>
                <w:color w:val="auto"/>
                <w:spacing w:val="6"/>
                <w:sz w:val="24"/>
                <w:highlight w:val="none"/>
              </w:rPr>
            </w:pPr>
          </w:p>
        </w:tc>
        <w:tc>
          <w:tcPr>
            <w:tcW w:w="1215" w:type="dxa"/>
            <w:tcBorders>
              <w:top w:val="single" w:color="000000" w:sz="4" w:space="0"/>
              <w:left w:val="single" w:color="000000" w:sz="4" w:space="0"/>
              <w:bottom w:val="single" w:color="000000" w:sz="4" w:space="0"/>
              <w:right w:val="single" w:color="000000" w:sz="4" w:space="0"/>
            </w:tcBorders>
            <w:vAlign w:val="center"/>
          </w:tcPr>
          <w:p w14:paraId="45C83613">
            <w:pPr>
              <w:adjustRightInd w:val="0"/>
              <w:snapToGrid w:val="0"/>
              <w:spacing w:line="321" w:lineRule="auto"/>
              <w:jc w:val="center"/>
              <w:rPr>
                <w:rFonts w:hint="eastAsia" w:ascii="宋体" w:hAnsi="宋体" w:eastAsia="宋体" w:cs="宋体"/>
                <w:color w:val="auto"/>
                <w:spacing w:val="6"/>
                <w:sz w:val="24"/>
                <w:highlight w:val="none"/>
              </w:rPr>
            </w:pPr>
          </w:p>
        </w:tc>
        <w:tc>
          <w:tcPr>
            <w:tcW w:w="885" w:type="dxa"/>
            <w:tcBorders>
              <w:top w:val="single" w:color="000000" w:sz="4" w:space="0"/>
              <w:left w:val="single" w:color="000000" w:sz="4" w:space="0"/>
              <w:bottom w:val="single" w:color="000000" w:sz="4" w:space="0"/>
              <w:right w:val="single" w:color="000000" w:sz="4" w:space="0"/>
            </w:tcBorders>
            <w:vAlign w:val="center"/>
          </w:tcPr>
          <w:p w14:paraId="4EFB2FE7">
            <w:pPr>
              <w:adjustRightInd w:val="0"/>
              <w:snapToGrid w:val="0"/>
              <w:spacing w:line="321" w:lineRule="auto"/>
              <w:jc w:val="center"/>
              <w:rPr>
                <w:rFonts w:hint="eastAsia" w:ascii="宋体" w:hAnsi="宋体" w:eastAsia="宋体" w:cs="宋体"/>
                <w:color w:val="auto"/>
                <w:spacing w:val="6"/>
                <w:sz w:val="24"/>
                <w:highlight w:val="none"/>
              </w:rPr>
            </w:pPr>
          </w:p>
        </w:tc>
        <w:tc>
          <w:tcPr>
            <w:tcW w:w="1040" w:type="dxa"/>
            <w:tcBorders>
              <w:top w:val="single" w:color="000000" w:sz="4" w:space="0"/>
              <w:left w:val="single" w:color="000000" w:sz="4" w:space="0"/>
              <w:bottom w:val="single" w:color="000000" w:sz="4" w:space="0"/>
              <w:right w:val="single" w:color="000000" w:sz="4" w:space="0"/>
            </w:tcBorders>
            <w:vAlign w:val="center"/>
          </w:tcPr>
          <w:p w14:paraId="70D8F459">
            <w:pPr>
              <w:adjustRightInd w:val="0"/>
              <w:snapToGrid w:val="0"/>
              <w:spacing w:line="321" w:lineRule="auto"/>
              <w:jc w:val="center"/>
              <w:rPr>
                <w:rFonts w:hint="eastAsia" w:ascii="宋体" w:hAnsi="宋体" w:eastAsia="宋体" w:cs="宋体"/>
                <w:color w:val="auto"/>
                <w:spacing w:val="6"/>
                <w:sz w:val="24"/>
                <w:highlight w:val="none"/>
              </w:rPr>
            </w:pPr>
          </w:p>
        </w:tc>
        <w:tc>
          <w:tcPr>
            <w:tcW w:w="2305" w:type="dxa"/>
            <w:tcBorders>
              <w:top w:val="single" w:color="000000" w:sz="4" w:space="0"/>
              <w:left w:val="single" w:color="000000" w:sz="4" w:space="0"/>
              <w:bottom w:val="single" w:color="000000" w:sz="4" w:space="0"/>
              <w:right w:val="single" w:color="000000" w:sz="4" w:space="0"/>
            </w:tcBorders>
            <w:vAlign w:val="center"/>
          </w:tcPr>
          <w:p w14:paraId="32F384CB">
            <w:pPr>
              <w:adjustRightInd w:val="0"/>
              <w:snapToGrid w:val="0"/>
              <w:spacing w:line="321" w:lineRule="auto"/>
              <w:jc w:val="center"/>
              <w:rPr>
                <w:rFonts w:hint="eastAsia" w:ascii="宋体" w:hAnsi="宋体" w:eastAsia="宋体" w:cs="宋体"/>
                <w:color w:val="auto"/>
                <w:spacing w:val="6"/>
                <w:sz w:val="24"/>
                <w:highlight w:val="none"/>
              </w:rPr>
            </w:pPr>
          </w:p>
        </w:tc>
        <w:tc>
          <w:tcPr>
            <w:tcW w:w="1732" w:type="dxa"/>
            <w:tcBorders>
              <w:top w:val="single" w:color="000000" w:sz="4" w:space="0"/>
              <w:left w:val="single" w:color="000000" w:sz="4" w:space="0"/>
              <w:bottom w:val="single" w:color="000000" w:sz="4" w:space="0"/>
              <w:right w:val="single" w:color="000000" w:sz="4" w:space="0"/>
            </w:tcBorders>
            <w:vAlign w:val="center"/>
          </w:tcPr>
          <w:p w14:paraId="32366E91">
            <w:pPr>
              <w:adjustRightInd w:val="0"/>
              <w:snapToGrid w:val="0"/>
              <w:spacing w:line="321" w:lineRule="auto"/>
              <w:jc w:val="center"/>
              <w:rPr>
                <w:rFonts w:hint="eastAsia" w:ascii="宋体" w:hAnsi="宋体" w:eastAsia="宋体" w:cs="宋体"/>
                <w:color w:val="auto"/>
                <w:spacing w:val="6"/>
                <w:sz w:val="24"/>
                <w:highlight w:val="none"/>
              </w:rPr>
            </w:pPr>
          </w:p>
        </w:tc>
        <w:tc>
          <w:tcPr>
            <w:tcW w:w="2494" w:type="dxa"/>
            <w:tcBorders>
              <w:top w:val="single" w:color="000000" w:sz="4" w:space="0"/>
              <w:left w:val="single" w:color="000000" w:sz="4" w:space="0"/>
              <w:bottom w:val="single" w:color="000000" w:sz="4" w:space="0"/>
              <w:right w:val="single" w:color="000000" w:sz="4" w:space="0"/>
            </w:tcBorders>
            <w:vAlign w:val="center"/>
          </w:tcPr>
          <w:p w14:paraId="7289C984">
            <w:pPr>
              <w:adjustRightInd w:val="0"/>
              <w:snapToGrid w:val="0"/>
              <w:spacing w:line="321" w:lineRule="auto"/>
              <w:jc w:val="center"/>
              <w:rPr>
                <w:rFonts w:hint="eastAsia" w:ascii="宋体" w:hAnsi="宋体" w:eastAsia="宋体" w:cs="宋体"/>
                <w:color w:val="auto"/>
                <w:spacing w:val="6"/>
                <w:sz w:val="24"/>
                <w:highlight w:val="none"/>
              </w:rPr>
            </w:pPr>
          </w:p>
        </w:tc>
      </w:tr>
      <w:tr w14:paraId="34F4D8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43" w:type="dxa"/>
            <w:tcBorders>
              <w:top w:val="single" w:color="000000" w:sz="4" w:space="0"/>
              <w:left w:val="single" w:color="000000" w:sz="4" w:space="0"/>
              <w:bottom w:val="single" w:color="000000" w:sz="4" w:space="0"/>
              <w:right w:val="single" w:color="000000" w:sz="4" w:space="0"/>
            </w:tcBorders>
            <w:vAlign w:val="center"/>
          </w:tcPr>
          <w:p w14:paraId="390B2E21">
            <w:pPr>
              <w:adjustRightInd w:val="0"/>
              <w:snapToGrid w:val="0"/>
              <w:spacing w:line="321" w:lineRule="auto"/>
              <w:jc w:val="center"/>
              <w:rPr>
                <w:rFonts w:hint="eastAsia" w:ascii="宋体" w:hAnsi="宋体" w:eastAsia="宋体" w:cs="宋体"/>
                <w:color w:val="auto"/>
                <w:spacing w:val="6"/>
                <w:sz w:val="24"/>
                <w:highlight w:val="none"/>
              </w:rPr>
            </w:pPr>
          </w:p>
        </w:tc>
        <w:tc>
          <w:tcPr>
            <w:tcW w:w="1215" w:type="dxa"/>
            <w:tcBorders>
              <w:top w:val="single" w:color="000000" w:sz="4" w:space="0"/>
              <w:left w:val="single" w:color="000000" w:sz="4" w:space="0"/>
              <w:bottom w:val="single" w:color="000000" w:sz="4" w:space="0"/>
              <w:right w:val="single" w:color="000000" w:sz="4" w:space="0"/>
            </w:tcBorders>
            <w:vAlign w:val="center"/>
          </w:tcPr>
          <w:p w14:paraId="0FFF814C">
            <w:pPr>
              <w:adjustRightInd w:val="0"/>
              <w:snapToGrid w:val="0"/>
              <w:spacing w:line="321" w:lineRule="auto"/>
              <w:jc w:val="center"/>
              <w:rPr>
                <w:rFonts w:hint="eastAsia" w:ascii="宋体" w:hAnsi="宋体" w:eastAsia="宋体" w:cs="宋体"/>
                <w:color w:val="auto"/>
                <w:spacing w:val="6"/>
                <w:sz w:val="24"/>
                <w:highlight w:val="none"/>
              </w:rPr>
            </w:pPr>
          </w:p>
        </w:tc>
        <w:tc>
          <w:tcPr>
            <w:tcW w:w="885" w:type="dxa"/>
            <w:tcBorders>
              <w:top w:val="single" w:color="000000" w:sz="4" w:space="0"/>
              <w:left w:val="single" w:color="000000" w:sz="4" w:space="0"/>
              <w:bottom w:val="single" w:color="000000" w:sz="4" w:space="0"/>
              <w:right w:val="single" w:color="000000" w:sz="4" w:space="0"/>
            </w:tcBorders>
            <w:vAlign w:val="center"/>
          </w:tcPr>
          <w:p w14:paraId="376EC754">
            <w:pPr>
              <w:adjustRightInd w:val="0"/>
              <w:snapToGrid w:val="0"/>
              <w:spacing w:line="321" w:lineRule="auto"/>
              <w:jc w:val="center"/>
              <w:rPr>
                <w:rFonts w:hint="eastAsia" w:ascii="宋体" w:hAnsi="宋体" w:eastAsia="宋体" w:cs="宋体"/>
                <w:color w:val="auto"/>
                <w:spacing w:val="6"/>
                <w:sz w:val="24"/>
                <w:highlight w:val="none"/>
              </w:rPr>
            </w:pPr>
          </w:p>
        </w:tc>
        <w:tc>
          <w:tcPr>
            <w:tcW w:w="1040" w:type="dxa"/>
            <w:tcBorders>
              <w:top w:val="single" w:color="000000" w:sz="4" w:space="0"/>
              <w:left w:val="single" w:color="000000" w:sz="4" w:space="0"/>
              <w:bottom w:val="single" w:color="000000" w:sz="4" w:space="0"/>
              <w:right w:val="single" w:color="000000" w:sz="4" w:space="0"/>
            </w:tcBorders>
            <w:vAlign w:val="center"/>
          </w:tcPr>
          <w:p w14:paraId="11942862">
            <w:pPr>
              <w:adjustRightInd w:val="0"/>
              <w:snapToGrid w:val="0"/>
              <w:spacing w:line="321" w:lineRule="auto"/>
              <w:jc w:val="center"/>
              <w:rPr>
                <w:rFonts w:hint="eastAsia" w:ascii="宋体" w:hAnsi="宋体" w:eastAsia="宋体" w:cs="宋体"/>
                <w:color w:val="auto"/>
                <w:spacing w:val="6"/>
                <w:sz w:val="24"/>
                <w:highlight w:val="none"/>
              </w:rPr>
            </w:pPr>
          </w:p>
        </w:tc>
        <w:tc>
          <w:tcPr>
            <w:tcW w:w="2305" w:type="dxa"/>
            <w:tcBorders>
              <w:top w:val="single" w:color="000000" w:sz="4" w:space="0"/>
              <w:left w:val="single" w:color="000000" w:sz="4" w:space="0"/>
              <w:bottom w:val="single" w:color="000000" w:sz="4" w:space="0"/>
              <w:right w:val="single" w:color="000000" w:sz="4" w:space="0"/>
            </w:tcBorders>
            <w:vAlign w:val="center"/>
          </w:tcPr>
          <w:p w14:paraId="2A8793A6">
            <w:pPr>
              <w:adjustRightInd w:val="0"/>
              <w:snapToGrid w:val="0"/>
              <w:spacing w:line="321" w:lineRule="auto"/>
              <w:jc w:val="center"/>
              <w:rPr>
                <w:rFonts w:hint="eastAsia" w:ascii="宋体" w:hAnsi="宋体" w:eastAsia="宋体" w:cs="宋体"/>
                <w:color w:val="auto"/>
                <w:spacing w:val="6"/>
                <w:sz w:val="24"/>
                <w:highlight w:val="none"/>
              </w:rPr>
            </w:pPr>
          </w:p>
        </w:tc>
        <w:tc>
          <w:tcPr>
            <w:tcW w:w="1732" w:type="dxa"/>
            <w:tcBorders>
              <w:top w:val="single" w:color="000000" w:sz="4" w:space="0"/>
              <w:left w:val="single" w:color="000000" w:sz="4" w:space="0"/>
              <w:bottom w:val="single" w:color="000000" w:sz="4" w:space="0"/>
              <w:right w:val="single" w:color="000000" w:sz="4" w:space="0"/>
            </w:tcBorders>
            <w:vAlign w:val="center"/>
          </w:tcPr>
          <w:p w14:paraId="27CF2A42">
            <w:pPr>
              <w:adjustRightInd w:val="0"/>
              <w:snapToGrid w:val="0"/>
              <w:spacing w:line="321" w:lineRule="auto"/>
              <w:jc w:val="center"/>
              <w:rPr>
                <w:rFonts w:hint="eastAsia" w:ascii="宋体" w:hAnsi="宋体" w:eastAsia="宋体" w:cs="宋体"/>
                <w:color w:val="auto"/>
                <w:spacing w:val="6"/>
                <w:sz w:val="24"/>
                <w:highlight w:val="none"/>
              </w:rPr>
            </w:pPr>
          </w:p>
        </w:tc>
        <w:tc>
          <w:tcPr>
            <w:tcW w:w="2494" w:type="dxa"/>
            <w:tcBorders>
              <w:top w:val="single" w:color="000000" w:sz="4" w:space="0"/>
              <w:left w:val="single" w:color="000000" w:sz="4" w:space="0"/>
              <w:bottom w:val="single" w:color="000000" w:sz="4" w:space="0"/>
              <w:right w:val="single" w:color="000000" w:sz="4" w:space="0"/>
            </w:tcBorders>
            <w:vAlign w:val="center"/>
          </w:tcPr>
          <w:p w14:paraId="7BF48CD2">
            <w:pPr>
              <w:adjustRightInd w:val="0"/>
              <w:snapToGrid w:val="0"/>
              <w:spacing w:line="321" w:lineRule="auto"/>
              <w:jc w:val="center"/>
              <w:rPr>
                <w:rFonts w:hint="eastAsia" w:ascii="宋体" w:hAnsi="宋体" w:eastAsia="宋体" w:cs="宋体"/>
                <w:color w:val="auto"/>
                <w:spacing w:val="6"/>
                <w:sz w:val="24"/>
                <w:highlight w:val="none"/>
              </w:rPr>
            </w:pPr>
          </w:p>
        </w:tc>
      </w:tr>
      <w:tr w14:paraId="7EF168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43" w:type="dxa"/>
            <w:tcBorders>
              <w:top w:val="single" w:color="000000" w:sz="4" w:space="0"/>
              <w:left w:val="single" w:color="000000" w:sz="4" w:space="0"/>
              <w:bottom w:val="single" w:color="000000" w:sz="4" w:space="0"/>
              <w:right w:val="single" w:color="000000" w:sz="4" w:space="0"/>
            </w:tcBorders>
            <w:vAlign w:val="center"/>
          </w:tcPr>
          <w:p w14:paraId="2F73D7E7">
            <w:pPr>
              <w:adjustRightInd w:val="0"/>
              <w:snapToGrid w:val="0"/>
              <w:spacing w:line="321" w:lineRule="auto"/>
              <w:jc w:val="center"/>
              <w:rPr>
                <w:rFonts w:hint="eastAsia" w:ascii="宋体" w:hAnsi="宋体" w:eastAsia="宋体" w:cs="宋体"/>
                <w:color w:val="auto"/>
                <w:spacing w:val="6"/>
                <w:sz w:val="24"/>
                <w:highlight w:val="none"/>
              </w:rPr>
            </w:pPr>
          </w:p>
        </w:tc>
        <w:tc>
          <w:tcPr>
            <w:tcW w:w="1215" w:type="dxa"/>
            <w:tcBorders>
              <w:top w:val="single" w:color="000000" w:sz="4" w:space="0"/>
              <w:left w:val="single" w:color="000000" w:sz="4" w:space="0"/>
              <w:bottom w:val="single" w:color="000000" w:sz="4" w:space="0"/>
              <w:right w:val="single" w:color="000000" w:sz="4" w:space="0"/>
            </w:tcBorders>
            <w:vAlign w:val="center"/>
          </w:tcPr>
          <w:p w14:paraId="7F0A8263">
            <w:pPr>
              <w:adjustRightInd w:val="0"/>
              <w:snapToGrid w:val="0"/>
              <w:spacing w:line="321" w:lineRule="auto"/>
              <w:jc w:val="center"/>
              <w:rPr>
                <w:rFonts w:hint="eastAsia" w:ascii="宋体" w:hAnsi="宋体" w:eastAsia="宋体" w:cs="宋体"/>
                <w:color w:val="auto"/>
                <w:spacing w:val="6"/>
                <w:sz w:val="24"/>
                <w:highlight w:val="none"/>
              </w:rPr>
            </w:pPr>
          </w:p>
        </w:tc>
        <w:tc>
          <w:tcPr>
            <w:tcW w:w="885" w:type="dxa"/>
            <w:tcBorders>
              <w:top w:val="single" w:color="000000" w:sz="4" w:space="0"/>
              <w:left w:val="single" w:color="000000" w:sz="4" w:space="0"/>
              <w:bottom w:val="single" w:color="000000" w:sz="4" w:space="0"/>
              <w:right w:val="single" w:color="000000" w:sz="4" w:space="0"/>
            </w:tcBorders>
            <w:vAlign w:val="center"/>
          </w:tcPr>
          <w:p w14:paraId="07042084">
            <w:pPr>
              <w:adjustRightInd w:val="0"/>
              <w:snapToGrid w:val="0"/>
              <w:spacing w:line="321" w:lineRule="auto"/>
              <w:jc w:val="center"/>
              <w:rPr>
                <w:rFonts w:hint="eastAsia" w:ascii="宋体" w:hAnsi="宋体" w:eastAsia="宋体" w:cs="宋体"/>
                <w:color w:val="auto"/>
                <w:spacing w:val="6"/>
                <w:sz w:val="24"/>
                <w:highlight w:val="none"/>
              </w:rPr>
            </w:pPr>
          </w:p>
        </w:tc>
        <w:tc>
          <w:tcPr>
            <w:tcW w:w="1040" w:type="dxa"/>
            <w:tcBorders>
              <w:top w:val="single" w:color="000000" w:sz="4" w:space="0"/>
              <w:left w:val="single" w:color="000000" w:sz="4" w:space="0"/>
              <w:bottom w:val="single" w:color="000000" w:sz="4" w:space="0"/>
              <w:right w:val="single" w:color="000000" w:sz="4" w:space="0"/>
            </w:tcBorders>
            <w:vAlign w:val="center"/>
          </w:tcPr>
          <w:p w14:paraId="0307FD31">
            <w:pPr>
              <w:adjustRightInd w:val="0"/>
              <w:snapToGrid w:val="0"/>
              <w:spacing w:line="321" w:lineRule="auto"/>
              <w:jc w:val="center"/>
              <w:rPr>
                <w:rFonts w:hint="eastAsia" w:ascii="宋体" w:hAnsi="宋体" w:eastAsia="宋体" w:cs="宋体"/>
                <w:color w:val="auto"/>
                <w:spacing w:val="6"/>
                <w:sz w:val="24"/>
                <w:highlight w:val="none"/>
              </w:rPr>
            </w:pPr>
          </w:p>
        </w:tc>
        <w:tc>
          <w:tcPr>
            <w:tcW w:w="2305" w:type="dxa"/>
            <w:tcBorders>
              <w:top w:val="single" w:color="000000" w:sz="4" w:space="0"/>
              <w:left w:val="single" w:color="000000" w:sz="4" w:space="0"/>
              <w:bottom w:val="single" w:color="000000" w:sz="4" w:space="0"/>
              <w:right w:val="single" w:color="000000" w:sz="4" w:space="0"/>
            </w:tcBorders>
            <w:vAlign w:val="center"/>
          </w:tcPr>
          <w:p w14:paraId="68DC000B">
            <w:pPr>
              <w:adjustRightInd w:val="0"/>
              <w:snapToGrid w:val="0"/>
              <w:spacing w:line="321" w:lineRule="auto"/>
              <w:jc w:val="center"/>
              <w:rPr>
                <w:rFonts w:hint="eastAsia" w:ascii="宋体" w:hAnsi="宋体" w:eastAsia="宋体" w:cs="宋体"/>
                <w:color w:val="auto"/>
                <w:spacing w:val="6"/>
                <w:sz w:val="24"/>
                <w:highlight w:val="none"/>
              </w:rPr>
            </w:pPr>
          </w:p>
        </w:tc>
        <w:tc>
          <w:tcPr>
            <w:tcW w:w="1732" w:type="dxa"/>
            <w:tcBorders>
              <w:top w:val="single" w:color="000000" w:sz="4" w:space="0"/>
              <w:left w:val="single" w:color="000000" w:sz="4" w:space="0"/>
              <w:bottom w:val="single" w:color="000000" w:sz="4" w:space="0"/>
              <w:right w:val="single" w:color="000000" w:sz="4" w:space="0"/>
            </w:tcBorders>
            <w:vAlign w:val="center"/>
          </w:tcPr>
          <w:p w14:paraId="33374CE5">
            <w:pPr>
              <w:adjustRightInd w:val="0"/>
              <w:snapToGrid w:val="0"/>
              <w:spacing w:line="321" w:lineRule="auto"/>
              <w:jc w:val="center"/>
              <w:rPr>
                <w:rFonts w:hint="eastAsia" w:ascii="宋体" w:hAnsi="宋体" w:eastAsia="宋体" w:cs="宋体"/>
                <w:color w:val="auto"/>
                <w:spacing w:val="6"/>
                <w:sz w:val="24"/>
                <w:highlight w:val="none"/>
              </w:rPr>
            </w:pPr>
          </w:p>
        </w:tc>
        <w:tc>
          <w:tcPr>
            <w:tcW w:w="2494" w:type="dxa"/>
            <w:tcBorders>
              <w:top w:val="single" w:color="000000" w:sz="4" w:space="0"/>
              <w:left w:val="single" w:color="000000" w:sz="4" w:space="0"/>
              <w:bottom w:val="single" w:color="000000" w:sz="4" w:space="0"/>
              <w:right w:val="single" w:color="000000" w:sz="4" w:space="0"/>
            </w:tcBorders>
            <w:vAlign w:val="center"/>
          </w:tcPr>
          <w:p w14:paraId="3A1CD3AC">
            <w:pPr>
              <w:adjustRightInd w:val="0"/>
              <w:snapToGrid w:val="0"/>
              <w:spacing w:line="321" w:lineRule="auto"/>
              <w:jc w:val="center"/>
              <w:rPr>
                <w:rFonts w:hint="eastAsia" w:ascii="宋体" w:hAnsi="宋体" w:eastAsia="宋体" w:cs="宋体"/>
                <w:color w:val="auto"/>
                <w:spacing w:val="6"/>
                <w:sz w:val="24"/>
                <w:highlight w:val="none"/>
              </w:rPr>
            </w:pPr>
          </w:p>
        </w:tc>
      </w:tr>
      <w:tr w14:paraId="60CD53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43" w:type="dxa"/>
            <w:tcBorders>
              <w:top w:val="single" w:color="000000" w:sz="4" w:space="0"/>
              <w:left w:val="single" w:color="000000" w:sz="4" w:space="0"/>
              <w:bottom w:val="single" w:color="000000" w:sz="4" w:space="0"/>
              <w:right w:val="single" w:color="000000" w:sz="4" w:space="0"/>
            </w:tcBorders>
            <w:vAlign w:val="center"/>
          </w:tcPr>
          <w:p w14:paraId="719467B8">
            <w:pPr>
              <w:adjustRightInd w:val="0"/>
              <w:snapToGrid w:val="0"/>
              <w:spacing w:line="321" w:lineRule="auto"/>
              <w:jc w:val="center"/>
              <w:rPr>
                <w:rFonts w:hint="eastAsia" w:ascii="宋体" w:hAnsi="宋体" w:eastAsia="宋体" w:cs="宋体"/>
                <w:color w:val="auto"/>
                <w:spacing w:val="6"/>
                <w:sz w:val="24"/>
                <w:highlight w:val="none"/>
              </w:rPr>
            </w:pPr>
          </w:p>
        </w:tc>
        <w:tc>
          <w:tcPr>
            <w:tcW w:w="1215" w:type="dxa"/>
            <w:tcBorders>
              <w:top w:val="single" w:color="000000" w:sz="4" w:space="0"/>
              <w:left w:val="single" w:color="000000" w:sz="4" w:space="0"/>
              <w:bottom w:val="single" w:color="000000" w:sz="4" w:space="0"/>
              <w:right w:val="single" w:color="000000" w:sz="4" w:space="0"/>
            </w:tcBorders>
            <w:vAlign w:val="center"/>
          </w:tcPr>
          <w:p w14:paraId="052B2FDE">
            <w:pPr>
              <w:adjustRightInd w:val="0"/>
              <w:snapToGrid w:val="0"/>
              <w:spacing w:line="321" w:lineRule="auto"/>
              <w:jc w:val="center"/>
              <w:rPr>
                <w:rFonts w:hint="eastAsia" w:ascii="宋体" w:hAnsi="宋体" w:eastAsia="宋体" w:cs="宋体"/>
                <w:color w:val="auto"/>
                <w:spacing w:val="6"/>
                <w:sz w:val="24"/>
                <w:highlight w:val="none"/>
              </w:rPr>
            </w:pPr>
          </w:p>
        </w:tc>
        <w:tc>
          <w:tcPr>
            <w:tcW w:w="885" w:type="dxa"/>
            <w:tcBorders>
              <w:top w:val="single" w:color="000000" w:sz="4" w:space="0"/>
              <w:left w:val="single" w:color="000000" w:sz="4" w:space="0"/>
              <w:bottom w:val="single" w:color="000000" w:sz="4" w:space="0"/>
              <w:right w:val="single" w:color="000000" w:sz="4" w:space="0"/>
            </w:tcBorders>
            <w:vAlign w:val="center"/>
          </w:tcPr>
          <w:p w14:paraId="4C97621E">
            <w:pPr>
              <w:adjustRightInd w:val="0"/>
              <w:snapToGrid w:val="0"/>
              <w:spacing w:line="321" w:lineRule="auto"/>
              <w:jc w:val="center"/>
              <w:rPr>
                <w:rFonts w:hint="eastAsia" w:ascii="宋体" w:hAnsi="宋体" w:eastAsia="宋体" w:cs="宋体"/>
                <w:color w:val="auto"/>
                <w:spacing w:val="6"/>
                <w:sz w:val="24"/>
                <w:highlight w:val="none"/>
              </w:rPr>
            </w:pPr>
          </w:p>
        </w:tc>
        <w:tc>
          <w:tcPr>
            <w:tcW w:w="1040" w:type="dxa"/>
            <w:tcBorders>
              <w:top w:val="single" w:color="000000" w:sz="4" w:space="0"/>
              <w:left w:val="single" w:color="000000" w:sz="4" w:space="0"/>
              <w:bottom w:val="single" w:color="000000" w:sz="4" w:space="0"/>
              <w:right w:val="single" w:color="000000" w:sz="4" w:space="0"/>
            </w:tcBorders>
            <w:vAlign w:val="center"/>
          </w:tcPr>
          <w:p w14:paraId="3C9685D9">
            <w:pPr>
              <w:adjustRightInd w:val="0"/>
              <w:snapToGrid w:val="0"/>
              <w:spacing w:line="321" w:lineRule="auto"/>
              <w:jc w:val="center"/>
              <w:rPr>
                <w:rFonts w:hint="eastAsia" w:ascii="宋体" w:hAnsi="宋体" w:eastAsia="宋体" w:cs="宋体"/>
                <w:color w:val="auto"/>
                <w:spacing w:val="6"/>
                <w:sz w:val="24"/>
                <w:highlight w:val="none"/>
              </w:rPr>
            </w:pPr>
          </w:p>
        </w:tc>
        <w:tc>
          <w:tcPr>
            <w:tcW w:w="2305" w:type="dxa"/>
            <w:tcBorders>
              <w:top w:val="single" w:color="000000" w:sz="4" w:space="0"/>
              <w:left w:val="single" w:color="000000" w:sz="4" w:space="0"/>
              <w:bottom w:val="single" w:color="000000" w:sz="4" w:space="0"/>
              <w:right w:val="single" w:color="000000" w:sz="4" w:space="0"/>
            </w:tcBorders>
            <w:vAlign w:val="center"/>
          </w:tcPr>
          <w:p w14:paraId="293649E7">
            <w:pPr>
              <w:adjustRightInd w:val="0"/>
              <w:snapToGrid w:val="0"/>
              <w:spacing w:line="321" w:lineRule="auto"/>
              <w:jc w:val="center"/>
              <w:rPr>
                <w:rFonts w:hint="eastAsia" w:ascii="宋体" w:hAnsi="宋体" w:eastAsia="宋体" w:cs="宋体"/>
                <w:color w:val="auto"/>
                <w:spacing w:val="6"/>
                <w:sz w:val="24"/>
                <w:highlight w:val="none"/>
              </w:rPr>
            </w:pPr>
          </w:p>
        </w:tc>
        <w:tc>
          <w:tcPr>
            <w:tcW w:w="1732" w:type="dxa"/>
            <w:tcBorders>
              <w:top w:val="single" w:color="000000" w:sz="4" w:space="0"/>
              <w:left w:val="single" w:color="000000" w:sz="4" w:space="0"/>
              <w:bottom w:val="single" w:color="000000" w:sz="4" w:space="0"/>
              <w:right w:val="single" w:color="000000" w:sz="4" w:space="0"/>
            </w:tcBorders>
            <w:vAlign w:val="center"/>
          </w:tcPr>
          <w:p w14:paraId="685497D0">
            <w:pPr>
              <w:adjustRightInd w:val="0"/>
              <w:snapToGrid w:val="0"/>
              <w:spacing w:line="321" w:lineRule="auto"/>
              <w:jc w:val="center"/>
              <w:rPr>
                <w:rFonts w:hint="eastAsia" w:ascii="宋体" w:hAnsi="宋体" w:eastAsia="宋体" w:cs="宋体"/>
                <w:color w:val="auto"/>
                <w:spacing w:val="6"/>
                <w:sz w:val="24"/>
                <w:highlight w:val="none"/>
              </w:rPr>
            </w:pPr>
          </w:p>
        </w:tc>
        <w:tc>
          <w:tcPr>
            <w:tcW w:w="2494" w:type="dxa"/>
            <w:tcBorders>
              <w:top w:val="single" w:color="000000" w:sz="4" w:space="0"/>
              <w:left w:val="single" w:color="000000" w:sz="4" w:space="0"/>
              <w:bottom w:val="single" w:color="000000" w:sz="4" w:space="0"/>
              <w:right w:val="single" w:color="000000" w:sz="4" w:space="0"/>
            </w:tcBorders>
            <w:vAlign w:val="center"/>
          </w:tcPr>
          <w:p w14:paraId="6D7E89A0">
            <w:pPr>
              <w:adjustRightInd w:val="0"/>
              <w:snapToGrid w:val="0"/>
              <w:spacing w:line="321" w:lineRule="auto"/>
              <w:jc w:val="center"/>
              <w:rPr>
                <w:rFonts w:hint="eastAsia" w:ascii="宋体" w:hAnsi="宋体" w:eastAsia="宋体" w:cs="宋体"/>
                <w:color w:val="auto"/>
                <w:spacing w:val="6"/>
                <w:sz w:val="24"/>
                <w:highlight w:val="none"/>
              </w:rPr>
            </w:pPr>
          </w:p>
        </w:tc>
      </w:tr>
      <w:tr w14:paraId="790612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43" w:type="dxa"/>
            <w:tcBorders>
              <w:top w:val="single" w:color="000000" w:sz="4" w:space="0"/>
              <w:left w:val="single" w:color="000000" w:sz="4" w:space="0"/>
              <w:bottom w:val="single" w:color="000000" w:sz="4" w:space="0"/>
              <w:right w:val="single" w:color="000000" w:sz="4" w:space="0"/>
            </w:tcBorders>
            <w:vAlign w:val="center"/>
          </w:tcPr>
          <w:p w14:paraId="699D4B25">
            <w:pPr>
              <w:adjustRightInd w:val="0"/>
              <w:snapToGrid w:val="0"/>
              <w:spacing w:line="321" w:lineRule="auto"/>
              <w:jc w:val="center"/>
              <w:rPr>
                <w:rFonts w:hint="eastAsia" w:ascii="宋体" w:hAnsi="宋体" w:eastAsia="宋体" w:cs="宋体"/>
                <w:color w:val="auto"/>
                <w:spacing w:val="6"/>
                <w:sz w:val="24"/>
                <w:highlight w:val="none"/>
              </w:rPr>
            </w:pPr>
          </w:p>
        </w:tc>
        <w:tc>
          <w:tcPr>
            <w:tcW w:w="1215" w:type="dxa"/>
            <w:tcBorders>
              <w:top w:val="single" w:color="000000" w:sz="4" w:space="0"/>
              <w:left w:val="single" w:color="000000" w:sz="4" w:space="0"/>
              <w:bottom w:val="single" w:color="000000" w:sz="4" w:space="0"/>
              <w:right w:val="single" w:color="000000" w:sz="4" w:space="0"/>
            </w:tcBorders>
            <w:vAlign w:val="center"/>
          </w:tcPr>
          <w:p w14:paraId="5D4FFD30">
            <w:pPr>
              <w:adjustRightInd w:val="0"/>
              <w:snapToGrid w:val="0"/>
              <w:spacing w:line="321" w:lineRule="auto"/>
              <w:jc w:val="center"/>
              <w:rPr>
                <w:rFonts w:hint="eastAsia" w:ascii="宋体" w:hAnsi="宋体" w:eastAsia="宋体" w:cs="宋体"/>
                <w:color w:val="auto"/>
                <w:spacing w:val="6"/>
                <w:sz w:val="24"/>
                <w:highlight w:val="none"/>
              </w:rPr>
            </w:pPr>
          </w:p>
        </w:tc>
        <w:tc>
          <w:tcPr>
            <w:tcW w:w="885" w:type="dxa"/>
            <w:tcBorders>
              <w:top w:val="single" w:color="000000" w:sz="4" w:space="0"/>
              <w:left w:val="single" w:color="000000" w:sz="4" w:space="0"/>
              <w:bottom w:val="single" w:color="000000" w:sz="4" w:space="0"/>
              <w:right w:val="single" w:color="000000" w:sz="4" w:space="0"/>
            </w:tcBorders>
            <w:vAlign w:val="center"/>
          </w:tcPr>
          <w:p w14:paraId="0DB03BA2">
            <w:pPr>
              <w:adjustRightInd w:val="0"/>
              <w:snapToGrid w:val="0"/>
              <w:spacing w:line="321" w:lineRule="auto"/>
              <w:jc w:val="center"/>
              <w:rPr>
                <w:rFonts w:hint="eastAsia" w:ascii="宋体" w:hAnsi="宋体" w:eastAsia="宋体" w:cs="宋体"/>
                <w:color w:val="auto"/>
                <w:spacing w:val="6"/>
                <w:sz w:val="24"/>
                <w:highlight w:val="none"/>
              </w:rPr>
            </w:pPr>
          </w:p>
        </w:tc>
        <w:tc>
          <w:tcPr>
            <w:tcW w:w="1040" w:type="dxa"/>
            <w:tcBorders>
              <w:top w:val="single" w:color="000000" w:sz="4" w:space="0"/>
              <w:left w:val="single" w:color="000000" w:sz="4" w:space="0"/>
              <w:bottom w:val="single" w:color="000000" w:sz="4" w:space="0"/>
              <w:right w:val="single" w:color="000000" w:sz="4" w:space="0"/>
            </w:tcBorders>
            <w:vAlign w:val="center"/>
          </w:tcPr>
          <w:p w14:paraId="4B372AA5">
            <w:pPr>
              <w:adjustRightInd w:val="0"/>
              <w:snapToGrid w:val="0"/>
              <w:spacing w:line="321" w:lineRule="auto"/>
              <w:jc w:val="center"/>
              <w:rPr>
                <w:rFonts w:hint="eastAsia" w:ascii="宋体" w:hAnsi="宋体" w:eastAsia="宋体" w:cs="宋体"/>
                <w:color w:val="auto"/>
                <w:spacing w:val="6"/>
                <w:sz w:val="24"/>
                <w:highlight w:val="none"/>
              </w:rPr>
            </w:pPr>
          </w:p>
        </w:tc>
        <w:tc>
          <w:tcPr>
            <w:tcW w:w="2305" w:type="dxa"/>
            <w:tcBorders>
              <w:top w:val="single" w:color="000000" w:sz="4" w:space="0"/>
              <w:left w:val="single" w:color="000000" w:sz="4" w:space="0"/>
              <w:bottom w:val="single" w:color="000000" w:sz="4" w:space="0"/>
              <w:right w:val="single" w:color="000000" w:sz="4" w:space="0"/>
            </w:tcBorders>
            <w:vAlign w:val="center"/>
          </w:tcPr>
          <w:p w14:paraId="269B3287">
            <w:pPr>
              <w:adjustRightInd w:val="0"/>
              <w:snapToGrid w:val="0"/>
              <w:spacing w:line="321" w:lineRule="auto"/>
              <w:jc w:val="center"/>
              <w:rPr>
                <w:rFonts w:hint="eastAsia" w:ascii="宋体" w:hAnsi="宋体" w:eastAsia="宋体" w:cs="宋体"/>
                <w:color w:val="auto"/>
                <w:spacing w:val="6"/>
                <w:sz w:val="24"/>
                <w:highlight w:val="none"/>
              </w:rPr>
            </w:pPr>
          </w:p>
        </w:tc>
        <w:tc>
          <w:tcPr>
            <w:tcW w:w="1732" w:type="dxa"/>
            <w:tcBorders>
              <w:top w:val="single" w:color="000000" w:sz="4" w:space="0"/>
              <w:left w:val="single" w:color="000000" w:sz="4" w:space="0"/>
              <w:bottom w:val="single" w:color="000000" w:sz="4" w:space="0"/>
              <w:right w:val="single" w:color="000000" w:sz="4" w:space="0"/>
            </w:tcBorders>
            <w:vAlign w:val="center"/>
          </w:tcPr>
          <w:p w14:paraId="76D5C905">
            <w:pPr>
              <w:adjustRightInd w:val="0"/>
              <w:snapToGrid w:val="0"/>
              <w:spacing w:line="321" w:lineRule="auto"/>
              <w:jc w:val="center"/>
              <w:rPr>
                <w:rFonts w:hint="eastAsia" w:ascii="宋体" w:hAnsi="宋体" w:eastAsia="宋体" w:cs="宋体"/>
                <w:color w:val="auto"/>
                <w:spacing w:val="6"/>
                <w:sz w:val="24"/>
                <w:highlight w:val="none"/>
              </w:rPr>
            </w:pPr>
          </w:p>
        </w:tc>
        <w:tc>
          <w:tcPr>
            <w:tcW w:w="2494" w:type="dxa"/>
            <w:tcBorders>
              <w:top w:val="single" w:color="000000" w:sz="4" w:space="0"/>
              <w:left w:val="single" w:color="000000" w:sz="4" w:space="0"/>
              <w:bottom w:val="single" w:color="000000" w:sz="4" w:space="0"/>
              <w:right w:val="single" w:color="000000" w:sz="4" w:space="0"/>
            </w:tcBorders>
            <w:vAlign w:val="center"/>
          </w:tcPr>
          <w:p w14:paraId="678C0A00">
            <w:pPr>
              <w:adjustRightInd w:val="0"/>
              <w:snapToGrid w:val="0"/>
              <w:spacing w:line="321" w:lineRule="auto"/>
              <w:jc w:val="center"/>
              <w:rPr>
                <w:rFonts w:hint="eastAsia" w:ascii="宋体" w:hAnsi="宋体" w:eastAsia="宋体" w:cs="宋体"/>
                <w:color w:val="auto"/>
                <w:spacing w:val="6"/>
                <w:sz w:val="24"/>
                <w:highlight w:val="none"/>
              </w:rPr>
            </w:pPr>
          </w:p>
        </w:tc>
      </w:tr>
      <w:tr w14:paraId="6C1772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43" w:type="dxa"/>
            <w:tcBorders>
              <w:top w:val="single" w:color="000000" w:sz="4" w:space="0"/>
              <w:left w:val="single" w:color="000000" w:sz="4" w:space="0"/>
              <w:bottom w:val="single" w:color="000000" w:sz="4" w:space="0"/>
              <w:right w:val="single" w:color="000000" w:sz="4" w:space="0"/>
            </w:tcBorders>
            <w:vAlign w:val="center"/>
          </w:tcPr>
          <w:p w14:paraId="17472343">
            <w:pPr>
              <w:adjustRightInd w:val="0"/>
              <w:snapToGrid w:val="0"/>
              <w:spacing w:line="321" w:lineRule="auto"/>
              <w:jc w:val="center"/>
              <w:rPr>
                <w:rFonts w:hint="eastAsia" w:ascii="宋体" w:hAnsi="宋体" w:eastAsia="宋体" w:cs="宋体"/>
                <w:color w:val="auto"/>
                <w:spacing w:val="6"/>
                <w:sz w:val="24"/>
                <w:highlight w:val="none"/>
              </w:rPr>
            </w:pPr>
          </w:p>
        </w:tc>
        <w:tc>
          <w:tcPr>
            <w:tcW w:w="1215" w:type="dxa"/>
            <w:tcBorders>
              <w:top w:val="single" w:color="000000" w:sz="4" w:space="0"/>
              <w:left w:val="single" w:color="000000" w:sz="4" w:space="0"/>
              <w:bottom w:val="single" w:color="000000" w:sz="4" w:space="0"/>
              <w:right w:val="single" w:color="000000" w:sz="4" w:space="0"/>
            </w:tcBorders>
            <w:vAlign w:val="center"/>
          </w:tcPr>
          <w:p w14:paraId="580E5CF4">
            <w:pPr>
              <w:adjustRightInd w:val="0"/>
              <w:snapToGrid w:val="0"/>
              <w:spacing w:line="321" w:lineRule="auto"/>
              <w:jc w:val="center"/>
              <w:rPr>
                <w:rFonts w:hint="eastAsia" w:ascii="宋体" w:hAnsi="宋体" w:eastAsia="宋体" w:cs="宋体"/>
                <w:color w:val="auto"/>
                <w:spacing w:val="6"/>
                <w:sz w:val="24"/>
                <w:highlight w:val="none"/>
              </w:rPr>
            </w:pPr>
          </w:p>
        </w:tc>
        <w:tc>
          <w:tcPr>
            <w:tcW w:w="885" w:type="dxa"/>
            <w:tcBorders>
              <w:top w:val="single" w:color="000000" w:sz="4" w:space="0"/>
              <w:left w:val="single" w:color="000000" w:sz="4" w:space="0"/>
              <w:bottom w:val="single" w:color="000000" w:sz="4" w:space="0"/>
              <w:right w:val="single" w:color="000000" w:sz="4" w:space="0"/>
            </w:tcBorders>
            <w:vAlign w:val="center"/>
          </w:tcPr>
          <w:p w14:paraId="71FF15EB">
            <w:pPr>
              <w:adjustRightInd w:val="0"/>
              <w:snapToGrid w:val="0"/>
              <w:spacing w:line="321" w:lineRule="auto"/>
              <w:jc w:val="center"/>
              <w:rPr>
                <w:rFonts w:hint="eastAsia" w:ascii="宋体" w:hAnsi="宋体" w:eastAsia="宋体" w:cs="宋体"/>
                <w:color w:val="auto"/>
                <w:spacing w:val="6"/>
                <w:sz w:val="24"/>
                <w:highlight w:val="none"/>
              </w:rPr>
            </w:pPr>
          </w:p>
        </w:tc>
        <w:tc>
          <w:tcPr>
            <w:tcW w:w="1040" w:type="dxa"/>
            <w:tcBorders>
              <w:top w:val="single" w:color="000000" w:sz="4" w:space="0"/>
              <w:left w:val="single" w:color="000000" w:sz="4" w:space="0"/>
              <w:bottom w:val="single" w:color="000000" w:sz="4" w:space="0"/>
              <w:right w:val="single" w:color="000000" w:sz="4" w:space="0"/>
            </w:tcBorders>
            <w:vAlign w:val="center"/>
          </w:tcPr>
          <w:p w14:paraId="2E0AB69F">
            <w:pPr>
              <w:adjustRightInd w:val="0"/>
              <w:snapToGrid w:val="0"/>
              <w:spacing w:line="321" w:lineRule="auto"/>
              <w:jc w:val="center"/>
              <w:rPr>
                <w:rFonts w:hint="eastAsia" w:ascii="宋体" w:hAnsi="宋体" w:eastAsia="宋体" w:cs="宋体"/>
                <w:color w:val="auto"/>
                <w:spacing w:val="6"/>
                <w:sz w:val="24"/>
                <w:highlight w:val="none"/>
              </w:rPr>
            </w:pPr>
          </w:p>
        </w:tc>
        <w:tc>
          <w:tcPr>
            <w:tcW w:w="2305" w:type="dxa"/>
            <w:tcBorders>
              <w:top w:val="single" w:color="000000" w:sz="4" w:space="0"/>
              <w:left w:val="single" w:color="000000" w:sz="4" w:space="0"/>
              <w:bottom w:val="single" w:color="000000" w:sz="4" w:space="0"/>
              <w:right w:val="single" w:color="000000" w:sz="4" w:space="0"/>
            </w:tcBorders>
            <w:vAlign w:val="center"/>
          </w:tcPr>
          <w:p w14:paraId="66CBF7E2">
            <w:pPr>
              <w:adjustRightInd w:val="0"/>
              <w:snapToGrid w:val="0"/>
              <w:spacing w:line="321" w:lineRule="auto"/>
              <w:jc w:val="center"/>
              <w:rPr>
                <w:rFonts w:hint="eastAsia" w:ascii="宋体" w:hAnsi="宋体" w:eastAsia="宋体" w:cs="宋体"/>
                <w:color w:val="auto"/>
                <w:spacing w:val="6"/>
                <w:sz w:val="24"/>
                <w:highlight w:val="none"/>
              </w:rPr>
            </w:pPr>
          </w:p>
        </w:tc>
        <w:tc>
          <w:tcPr>
            <w:tcW w:w="1732" w:type="dxa"/>
            <w:tcBorders>
              <w:top w:val="single" w:color="000000" w:sz="4" w:space="0"/>
              <w:left w:val="single" w:color="000000" w:sz="4" w:space="0"/>
              <w:bottom w:val="single" w:color="000000" w:sz="4" w:space="0"/>
              <w:right w:val="single" w:color="000000" w:sz="4" w:space="0"/>
            </w:tcBorders>
            <w:vAlign w:val="center"/>
          </w:tcPr>
          <w:p w14:paraId="56DF0054">
            <w:pPr>
              <w:adjustRightInd w:val="0"/>
              <w:snapToGrid w:val="0"/>
              <w:spacing w:line="321" w:lineRule="auto"/>
              <w:jc w:val="center"/>
              <w:rPr>
                <w:rFonts w:hint="eastAsia" w:ascii="宋体" w:hAnsi="宋体" w:eastAsia="宋体" w:cs="宋体"/>
                <w:color w:val="auto"/>
                <w:spacing w:val="6"/>
                <w:sz w:val="24"/>
                <w:highlight w:val="none"/>
              </w:rPr>
            </w:pPr>
          </w:p>
        </w:tc>
        <w:tc>
          <w:tcPr>
            <w:tcW w:w="2494" w:type="dxa"/>
            <w:tcBorders>
              <w:top w:val="single" w:color="000000" w:sz="4" w:space="0"/>
              <w:left w:val="single" w:color="000000" w:sz="4" w:space="0"/>
              <w:bottom w:val="single" w:color="000000" w:sz="4" w:space="0"/>
              <w:right w:val="single" w:color="000000" w:sz="4" w:space="0"/>
            </w:tcBorders>
            <w:vAlign w:val="center"/>
          </w:tcPr>
          <w:p w14:paraId="2D709764">
            <w:pPr>
              <w:adjustRightInd w:val="0"/>
              <w:snapToGrid w:val="0"/>
              <w:spacing w:line="321" w:lineRule="auto"/>
              <w:jc w:val="center"/>
              <w:rPr>
                <w:rFonts w:hint="eastAsia" w:ascii="宋体" w:hAnsi="宋体" w:eastAsia="宋体" w:cs="宋体"/>
                <w:color w:val="auto"/>
                <w:spacing w:val="6"/>
                <w:sz w:val="24"/>
                <w:highlight w:val="none"/>
              </w:rPr>
            </w:pPr>
          </w:p>
        </w:tc>
      </w:tr>
    </w:tbl>
    <w:p w14:paraId="24ED6EF4">
      <w:pP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注：1.此表可扩展。</w:t>
      </w:r>
    </w:p>
    <w:p w14:paraId="4D006762">
      <w:pPr>
        <w:pStyle w:val="17"/>
        <w:rPr>
          <w:rFonts w:hint="eastAsia" w:ascii="宋体" w:hAnsi="宋体" w:eastAsia="宋体" w:cs="宋体"/>
          <w:color w:val="auto"/>
          <w:highlight w:val="none"/>
        </w:rPr>
      </w:pPr>
      <w:r>
        <w:rPr>
          <w:rFonts w:hint="eastAsia" w:ascii="宋体" w:hAnsi="宋体" w:eastAsia="宋体" w:cs="宋体"/>
          <w:color w:val="auto"/>
          <w:sz w:val="24"/>
          <w:szCs w:val="21"/>
          <w:highlight w:val="none"/>
        </w:rPr>
        <w:t>2.</w:t>
      </w:r>
      <w:r>
        <w:rPr>
          <w:rFonts w:hint="eastAsia" w:ascii="宋体" w:hAnsi="宋体" w:eastAsia="宋体" w:cs="宋体"/>
          <w:color w:val="auto"/>
          <w:sz w:val="24"/>
          <w:szCs w:val="24"/>
          <w:highlight w:val="none"/>
          <w:shd w:val="clear" w:color="auto" w:fill="auto"/>
          <w:lang w:val="en-US" w:eastAsia="zh-CN"/>
        </w:rPr>
        <w:t>须</w:t>
      </w:r>
      <w:r>
        <w:rPr>
          <w:rFonts w:hint="eastAsia" w:ascii="宋体" w:hAnsi="宋体" w:eastAsia="宋体" w:cs="宋体"/>
          <w:color w:val="auto"/>
          <w:sz w:val="24"/>
          <w:highlight w:val="none"/>
          <w:lang w:val="en-US" w:eastAsia="zh-CN"/>
        </w:rPr>
        <w:t>提供</w:t>
      </w:r>
      <w:r>
        <w:rPr>
          <w:rFonts w:hint="eastAsia" w:ascii="宋体" w:hAnsi="宋体" w:eastAsia="宋体" w:cs="宋体"/>
          <w:color w:val="auto"/>
          <w:sz w:val="24"/>
          <w:szCs w:val="24"/>
          <w:highlight w:val="none"/>
          <w:shd w:val="clear" w:color="auto" w:fill="auto"/>
          <w:lang w:val="en-US" w:eastAsia="zh-CN"/>
        </w:rPr>
        <w:t>相关证明材料。</w:t>
      </w:r>
    </w:p>
    <w:p w14:paraId="7EC8029C">
      <w:pPr>
        <w:spacing w:line="480" w:lineRule="auto"/>
        <w:ind w:firstLine="480" w:firstLineChars="200"/>
        <w:jc w:val="left"/>
        <w:rPr>
          <w:rFonts w:hint="eastAsia" w:ascii="宋体" w:hAnsi="宋体" w:eastAsia="宋体" w:cs="宋体"/>
          <w:bCs/>
          <w:color w:val="auto"/>
          <w:sz w:val="24"/>
          <w:highlight w:val="none"/>
        </w:rPr>
      </w:pPr>
    </w:p>
    <w:p w14:paraId="3A9DD41F">
      <w:pPr>
        <w:spacing w:line="480" w:lineRule="auto"/>
        <w:ind w:firstLine="480" w:firstLineChars="200"/>
        <w:jc w:val="left"/>
        <w:rPr>
          <w:rFonts w:hint="eastAsia" w:ascii="宋体" w:hAnsi="宋体" w:eastAsia="宋体" w:cs="宋体"/>
          <w:bCs/>
          <w:color w:val="auto"/>
          <w:sz w:val="24"/>
          <w:highlight w:val="none"/>
        </w:rPr>
      </w:pPr>
    </w:p>
    <w:p w14:paraId="2E3F40DD">
      <w:pPr>
        <w:spacing w:line="480" w:lineRule="auto"/>
        <w:ind w:firstLine="480" w:firstLineChars="200"/>
        <w:jc w:val="left"/>
        <w:rPr>
          <w:rFonts w:hint="eastAsia" w:ascii="宋体" w:hAnsi="宋体" w:eastAsia="宋体" w:cs="宋体"/>
          <w:bCs/>
          <w:color w:val="auto"/>
          <w:sz w:val="24"/>
          <w:highlight w:val="none"/>
        </w:rPr>
      </w:pPr>
    </w:p>
    <w:p w14:paraId="15F705D1">
      <w:pPr>
        <w:spacing w:line="480" w:lineRule="auto"/>
        <w:ind w:firstLine="480" w:firstLineChars="200"/>
        <w:jc w:val="left"/>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投标人：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(电子签章) </w:t>
      </w:r>
    </w:p>
    <w:p w14:paraId="2F66C800">
      <w:pPr>
        <w:spacing w:line="48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法定代表人或其委托代理人：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(电子签章或签名) </w:t>
      </w:r>
    </w:p>
    <w:p w14:paraId="5973FC81">
      <w:pPr>
        <w:pStyle w:val="15"/>
        <w:spacing w:line="480" w:lineRule="auto"/>
        <w:ind w:firstLine="448" w:firstLineChars="200"/>
        <w:rPr>
          <w:rFonts w:hint="eastAsia" w:ascii="宋体" w:hAnsi="宋体" w:eastAsia="宋体" w:cs="宋体"/>
          <w:color w:val="auto"/>
          <w:highlight w:val="none"/>
        </w:rPr>
      </w:pPr>
      <w:r>
        <w:rPr>
          <w:rFonts w:hint="eastAsia" w:ascii="宋体" w:hAnsi="宋体" w:eastAsia="宋体" w:cs="宋体"/>
          <w:b w:val="0"/>
          <w:color w:val="auto"/>
          <w:sz w:val="24"/>
          <w:highlight w:val="none"/>
        </w:rPr>
        <w:t>日期：</w:t>
      </w:r>
      <w:r>
        <w:rPr>
          <w:rFonts w:hint="eastAsia" w:ascii="宋体" w:hAnsi="宋体" w:eastAsia="宋体" w:cs="宋体"/>
          <w:b w:val="0"/>
          <w:color w:val="auto"/>
          <w:sz w:val="24"/>
          <w:highlight w:val="none"/>
          <w:u w:val="single"/>
        </w:rPr>
        <w:t xml:space="preserve">     </w:t>
      </w:r>
      <w:r>
        <w:rPr>
          <w:rFonts w:hint="eastAsia" w:ascii="宋体" w:hAnsi="宋体" w:eastAsia="宋体" w:cs="宋体"/>
          <w:b w:val="0"/>
          <w:color w:val="auto"/>
          <w:sz w:val="24"/>
          <w:highlight w:val="none"/>
        </w:rPr>
        <w:t>年</w:t>
      </w:r>
      <w:r>
        <w:rPr>
          <w:rFonts w:hint="eastAsia" w:ascii="宋体" w:hAnsi="宋体" w:eastAsia="宋体" w:cs="宋体"/>
          <w:b w:val="0"/>
          <w:color w:val="auto"/>
          <w:sz w:val="24"/>
          <w:highlight w:val="none"/>
          <w:u w:val="single"/>
        </w:rPr>
        <w:t xml:space="preserve">    </w:t>
      </w:r>
      <w:r>
        <w:rPr>
          <w:rFonts w:hint="eastAsia" w:ascii="宋体" w:hAnsi="宋体" w:eastAsia="宋体" w:cs="宋体"/>
          <w:b w:val="0"/>
          <w:color w:val="auto"/>
          <w:sz w:val="24"/>
          <w:highlight w:val="none"/>
        </w:rPr>
        <w:t>月</w:t>
      </w:r>
      <w:r>
        <w:rPr>
          <w:rFonts w:hint="eastAsia" w:ascii="宋体" w:hAnsi="宋体" w:eastAsia="宋体" w:cs="宋体"/>
          <w:b w:val="0"/>
          <w:color w:val="auto"/>
          <w:sz w:val="24"/>
          <w:highlight w:val="none"/>
          <w:u w:val="single"/>
        </w:rPr>
        <w:t xml:space="preserve">    </w:t>
      </w:r>
      <w:r>
        <w:rPr>
          <w:rFonts w:hint="eastAsia" w:ascii="宋体" w:hAnsi="宋体" w:eastAsia="宋体" w:cs="宋体"/>
          <w:b w:val="0"/>
          <w:color w:val="auto"/>
          <w:sz w:val="24"/>
          <w:highlight w:val="none"/>
        </w:rPr>
        <w:t>日</w:t>
      </w:r>
    </w:p>
    <w:p w14:paraId="42AF658C">
      <w:pPr>
        <w:pStyle w:val="4"/>
        <w:jc w:val="center"/>
        <w:rPr>
          <w:rStyle w:val="136"/>
          <w:rFonts w:hint="eastAsia" w:ascii="宋体" w:hAnsi="宋体" w:eastAsia="宋体" w:cs="宋体"/>
          <w:b/>
          <w:color w:val="auto"/>
          <w:sz w:val="28"/>
          <w:szCs w:val="28"/>
          <w:highlight w:val="none"/>
        </w:rPr>
      </w:pPr>
      <w:r>
        <w:rPr>
          <w:rFonts w:hint="eastAsia" w:ascii="宋体" w:hAnsi="宋体" w:eastAsia="宋体" w:cs="宋体"/>
          <w:bCs/>
          <w:color w:val="auto"/>
          <w:szCs w:val="28"/>
          <w:highlight w:val="none"/>
        </w:rPr>
        <w:br w:type="page"/>
      </w:r>
      <w:bookmarkStart w:id="347" w:name="_Toc10996"/>
      <w:bookmarkStart w:id="348" w:name="_Toc13652"/>
      <w:r>
        <w:rPr>
          <w:rFonts w:hint="eastAsia" w:ascii="宋体" w:hAnsi="宋体" w:eastAsia="宋体" w:cs="宋体"/>
          <w:bCs/>
          <w:color w:val="auto"/>
          <w:szCs w:val="28"/>
          <w:highlight w:val="none"/>
        </w:rPr>
        <w:t>（</w:t>
      </w:r>
      <w:r>
        <w:rPr>
          <w:rFonts w:hint="eastAsia" w:ascii="宋体" w:hAnsi="宋体" w:eastAsia="宋体" w:cs="宋体"/>
          <w:bCs/>
          <w:color w:val="auto"/>
          <w:szCs w:val="28"/>
          <w:highlight w:val="none"/>
          <w:lang w:val="en-US" w:eastAsia="zh-CN"/>
        </w:rPr>
        <w:t>四</w:t>
      </w:r>
      <w:r>
        <w:rPr>
          <w:rFonts w:hint="eastAsia" w:ascii="宋体" w:hAnsi="宋体" w:eastAsia="宋体" w:cs="宋体"/>
          <w:bCs/>
          <w:color w:val="auto"/>
          <w:szCs w:val="28"/>
          <w:highlight w:val="none"/>
        </w:rPr>
        <w:t>）</w:t>
      </w:r>
      <w:r>
        <w:rPr>
          <w:rStyle w:val="136"/>
          <w:rFonts w:hint="eastAsia" w:ascii="宋体" w:hAnsi="宋体" w:eastAsia="宋体" w:cs="宋体"/>
          <w:b/>
          <w:color w:val="auto"/>
          <w:sz w:val="28"/>
          <w:szCs w:val="28"/>
          <w:highlight w:val="none"/>
        </w:rPr>
        <w:t>技术方案</w:t>
      </w:r>
      <w:bookmarkEnd w:id="347"/>
      <w:bookmarkEnd w:id="348"/>
    </w:p>
    <w:p w14:paraId="1D193446">
      <w:pPr>
        <w:jc w:val="center"/>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（格式自拟）</w:t>
      </w:r>
    </w:p>
    <w:p w14:paraId="78EEFE57">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根据招标文件及采购人要求编制项目实施方案，此章节格式自拟，包括但不限于以下内容：</w:t>
      </w:r>
    </w:p>
    <w:p w14:paraId="713284D5">
      <w:pPr>
        <w:spacing w:line="360" w:lineRule="auto"/>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lang w:val="en-US" w:eastAsia="zh-CN"/>
        </w:rPr>
        <w:t>1.</w:t>
      </w:r>
      <w:r>
        <w:rPr>
          <w:rFonts w:hint="eastAsia" w:ascii="宋体" w:hAnsi="宋体" w:eastAsia="宋体" w:cs="宋体"/>
          <w:b/>
          <w:bCs/>
          <w:color w:val="auto"/>
          <w:sz w:val="24"/>
          <w:highlight w:val="none"/>
        </w:rPr>
        <w:t>项目实施方案</w:t>
      </w:r>
    </w:p>
    <w:p w14:paraId="73F69865">
      <w:pPr>
        <w:spacing w:line="360" w:lineRule="auto"/>
        <w:jc w:val="left"/>
        <w:rPr>
          <w:rFonts w:hint="eastAsia" w:ascii="宋体" w:hAnsi="宋体" w:eastAsia="宋体" w:cs="宋体"/>
          <w:b/>
          <w:bCs/>
          <w:color w:val="auto"/>
          <w:sz w:val="24"/>
          <w:highlight w:val="none"/>
        </w:rPr>
      </w:pPr>
    </w:p>
    <w:p w14:paraId="3DDDA6CA">
      <w:pPr>
        <w:spacing w:line="360" w:lineRule="auto"/>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lang w:val="en-US" w:eastAsia="zh-CN"/>
        </w:rPr>
        <w:t>2.</w:t>
      </w:r>
      <w:r>
        <w:rPr>
          <w:rFonts w:hint="eastAsia" w:ascii="宋体" w:hAnsi="宋体" w:eastAsia="宋体" w:cs="宋体"/>
          <w:b/>
          <w:bCs/>
          <w:color w:val="auto"/>
          <w:sz w:val="24"/>
          <w:highlight w:val="none"/>
        </w:rPr>
        <w:t>售后服务响应时间、售后服务承诺及定期检查与维护保养计划</w:t>
      </w:r>
    </w:p>
    <w:p w14:paraId="673BCBC0">
      <w:pPr>
        <w:spacing w:line="360" w:lineRule="auto"/>
        <w:jc w:val="left"/>
        <w:rPr>
          <w:rFonts w:hint="eastAsia" w:ascii="宋体" w:hAnsi="宋体" w:eastAsia="宋体" w:cs="宋体"/>
          <w:b/>
          <w:bCs/>
          <w:color w:val="auto"/>
          <w:sz w:val="24"/>
          <w:highlight w:val="none"/>
        </w:rPr>
      </w:pPr>
    </w:p>
    <w:p w14:paraId="7632A160">
      <w:pPr>
        <w:spacing w:line="360" w:lineRule="auto"/>
        <w:jc w:val="left"/>
        <w:rPr>
          <w:rFonts w:hint="eastAsia" w:ascii="宋体" w:hAnsi="宋体" w:eastAsia="宋体" w:cs="宋体"/>
          <w:color w:val="auto"/>
          <w:sz w:val="24"/>
          <w:highlight w:val="none"/>
        </w:rPr>
      </w:pPr>
      <w:bookmarkStart w:id="349" w:name="_Toc3896319"/>
      <w:r>
        <w:rPr>
          <w:rFonts w:hint="eastAsia" w:ascii="宋体" w:hAnsi="宋体" w:eastAsia="宋体" w:cs="宋体"/>
          <w:color w:val="auto"/>
          <w:sz w:val="24"/>
          <w:highlight w:val="none"/>
        </w:rPr>
        <w:t>注：上述内容及格式由投标人根据“评标办法”中的评审内容及标准并结合自身实际情况自行拟定。</w:t>
      </w:r>
    </w:p>
    <w:p w14:paraId="2B032E74">
      <w:pPr>
        <w:pStyle w:val="4"/>
        <w:jc w:val="center"/>
        <w:rPr>
          <w:rFonts w:hint="eastAsia" w:ascii="宋体" w:hAnsi="宋体" w:eastAsia="宋体" w:cs="宋体"/>
          <w:color w:val="auto"/>
          <w:sz w:val="24"/>
          <w:szCs w:val="24"/>
          <w:highlight w:val="none"/>
        </w:rPr>
      </w:pPr>
      <w:r>
        <w:rPr>
          <w:rFonts w:hint="eastAsia" w:ascii="宋体" w:hAnsi="宋体" w:eastAsia="宋体" w:cs="宋体"/>
          <w:color w:val="auto"/>
          <w:szCs w:val="28"/>
          <w:highlight w:val="none"/>
        </w:rPr>
        <w:br w:type="page"/>
      </w:r>
      <w:bookmarkStart w:id="350" w:name="_Toc27581"/>
      <w:bookmarkStart w:id="351" w:name="_Toc13392"/>
      <w:bookmarkStart w:id="352" w:name="_Toc7624"/>
      <w:bookmarkStart w:id="353" w:name="_Toc27965"/>
      <w:bookmarkStart w:id="354" w:name="_Toc14447"/>
      <w:bookmarkStart w:id="355" w:name="_Toc25340"/>
      <w:bookmarkStart w:id="356" w:name="_Toc1929"/>
      <w:bookmarkStart w:id="357" w:name="_Toc6819"/>
      <w:bookmarkStart w:id="358" w:name="_Toc7333"/>
      <w:r>
        <w:rPr>
          <w:rStyle w:val="136"/>
          <w:rFonts w:hint="eastAsia" w:ascii="宋体" w:hAnsi="宋体" w:eastAsia="宋体" w:cs="宋体"/>
          <w:b/>
          <w:color w:val="auto"/>
          <w:sz w:val="28"/>
          <w:szCs w:val="28"/>
          <w:highlight w:val="none"/>
        </w:rPr>
        <w:t>（</w:t>
      </w:r>
      <w:r>
        <w:rPr>
          <w:rStyle w:val="136"/>
          <w:rFonts w:hint="eastAsia" w:ascii="宋体" w:hAnsi="宋体" w:eastAsia="宋体" w:cs="宋体"/>
          <w:b/>
          <w:color w:val="auto"/>
          <w:sz w:val="28"/>
          <w:szCs w:val="28"/>
          <w:highlight w:val="none"/>
          <w:lang w:val="en-US" w:eastAsia="zh-CN"/>
        </w:rPr>
        <w:t>五</w:t>
      </w:r>
      <w:r>
        <w:rPr>
          <w:rStyle w:val="136"/>
          <w:rFonts w:hint="eastAsia" w:ascii="宋体" w:hAnsi="宋体" w:eastAsia="宋体" w:cs="宋体"/>
          <w:b/>
          <w:color w:val="auto"/>
          <w:sz w:val="28"/>
          <w:szCs w:val="28"/>
          <w:highlight w:val="none"/>
        </w:rPr>
        <w:t>）其他资料</w:t>
      </w:r>
      <w:bookmarkEnd w:id="349"/>
      <w:bookmarkEnd w:id="350"/>
      <w:bookmarkEnd w:id="351"/>
      <w:bookmarkEnd w:id="352"/>
      <w:bookmarkEnd w:id="353"/>
      <w:bookmarkEnd w:id="354"/>
      <w:bookmarkEnd w:id="355"/>
      <w:bookmarkEnd w:id="356"/>
      <w:bookmarkEnd w:id="357"/>
      <w:bookmarkEnd w:id="358"/>
    </w:p>
    <w:p w14:paraId="51C9833D">
      <w:pPr>
        <w:spacing w:line="360" w:lineRule="auto"/>
        <w:jc w:val="center"/>
        <w:rPr>
          <w:rFonts w:hint="eastAsia" w:ascii="宋体" w:hAnsi="宋体" w:eastAsia="宋体" w:cs="宋体"/>
          <w:color w:val="auto"/>
          <w:sz w:val="24"/>
          <w:highlight w:val="none"/>
        </w:rPr>
      </w:pPr>
      <w:bookmarkStart w:id="359" w:name="_Toc12254"/>
      <w:bookmarkEnd w:id="359"/>
      <w:bookmarkStart w:id="360" w:name="_Toc468"/>
      <w:bookmarkEnd w:id="360"/>
      <w:r>
        <w:rPr>
          <w:rFonts w:hint="eastAsia" w:ascii="宋体" w:hAnsi="宋体" w:eastAsia="宋体" w:cs="宋体"/>
          <w:color w:val="auto"/>
          <w:sz w:val="24"/>
          <w:highlight w:val="none"/>
        </w:rPr>
        <w:t>投标人认为需要提交的其他资料（格式自拟）</w:t>
      </w:r>
    </w:p>
    <w:p w14:paraId="5F9C8AAA">
      <w:pPr>
        <w:spacing w:line="480" w:lineRule="auto"/>
        <w:rPr>
          <w:rFonts w:hint="eastAsia" w:ascii="宋体" w:hAnsi="宋体" w:eastAsia="宋体" w:cs="宋体"/>
          <w:color w:val="auto"/>
          <w:sz w:val="24"/>
          <w:highlight w:val="none"/>
        </w:rPr>
      </w:pPr>
    </w:p>
    <w:p w14:paraId="3FBA44B4">
      <w:pPr>
        <w:pStyle w:val="15"/>
        <w:rPr>
          <w:rFonts w:hint="eastAsia" w:ascii="宋体" w:hAnsi="宋体" w:eastAsia="宋体" w:cs="宋体"/>
          <w:color w:val="auto"/>
          <w:highlight w:val="none"/>
        </w:rPr>
      </w:pPr>
    </w:p>
    <w:sectPr>
      <w:pgSz w:w="11906" w:h="16838"/>
      <w:pgMar w:top="1247" w:right="1247" w:bottom="1247" w:left="1247" w:header="964" w:footer="992" w:gutter="0"/>
      <w:pgNumType w:fmt="decimal"/>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金山简黑体">
    <w:altName w:val="宋体"/>
    <w:panose1 w:val="00000000000000000000"/>
    <w:charset w:val="00"/>
    <w:family w:val="auto"/>
    <w:pitch w:val="default"/>
    <w:sig w:usb0="00000000" w:usb1="00000000" w:usb2="00000000" w:usb3="00000000" w:csb0="00040001"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Arial Unicode MS">
    <w:altName w:val="宋体"/>
    <w:panose1 w:val="020B0604020202020204"/>
    <w:charset w:val="86"/>
    <w:family w:val="swiss"/>
    <w:pitch w:val="default"/>
    <w:sig w:usb0="00000000" w:usb1="00000000" w:usb2="0000003F" w:usb3="00000000" w:csb0="603F01FF" w:csb1="FFFF0000"/>
  </w:font>
  <w:font w:name="Tahoma">
    <w:panose1 w:val="020B0604030504040204"/>
    <w:charset w:val="00"/>
    <w:family w:val="swiss"/>
    <w:pitch w:val="default"/>
    <w:sig w:usb0="E1002EFF" w:usb1="C000605B" w:usb2="00000029" w:usb3="00000000" w:csb0="200101FF" w:csb1="20280000"/>
  </w:font>
  <w:font w:name="全真簡粗明">
    <w:altName w:val="Microsoft JhengHei"/>
    <w:panose1 w:val="00000000000000000000"/>
    <w:charset w:val="88"/>
    <w:family w:val="modern"/>
    <w:pitch w:val="default"/>
    <w:sig w:usb0="00000000" w:usb1="00000000" w:usb2="00000010" w:usb3="00000000" w:csb0="00100000" w:csb1="00000000"/>
  </w:font>
  <w:font w:name="Microsoft JhengHei">
    <w:panose1 w:val="020B0604030504040204"/>
    <w:charset w:val="88"/>
    <w:family w:val="auto"/>
    <w:pitch w:val="default"/>
    <w:sig w:usb0="000002A7" w:usb1="28CF4400" w:usb2="00000016" w:usb3="00000000" w:csb0="00100009" w:csb1="00000000"/>
  </w:font>
  <w:font w:name="微软雅黑">
    <w:panose1 w:val="020B0503020204020204"/>
    <w:charset w:val="86"/>
    <w:family w:val="swiss"/>
    <w:pitch w:val="default"/>
    <w:sig w:usb0="80000287" w:usb1="2ACF3C50" w:usb2="00000016" w:usb3="00000000" w:csb0="0004001F" w:csb1="00000000"/>
  </w:font>
  <w:font w:name="MicrosoftYaHei">
    <w:altName w:val="宋体"/>
    <w:panose1 w:val="00000000000000000000"/>
    <w:charset w:val="86"/>
    <w:family w:val="auto"/>
    <w:pitch w:val="default"/>
    <w:sig w:usb0="00000000" w:usb1="00000000" w:usb2="00000000" w:usb3="00000000" w:csb0="00000000"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DBFA10">
    <w:pPr>
      <w:pStyle w:val="26"/>
    </w:pPr>
    <w:r>
      <mc:AlternateContent>
        <mc:Choice Requires="wps">
          <w:drawing>
            <wp:anchor distT="0" distB="0" distL="114300" distR="114300" simplePos="0" relativeHeight="251659264" behindDoc="0" locked="0" layoutInCell="1" allowOverlap="1">
              <wp:simplePos x="0" y="0"/>
              <wp:positionH relativeFrom="margin">
                <wp:posOffset>5455920</wp:posOffset>
              </wp:positionH>
              <wp:positionV relativeFrom="paragraph">
                <wp:posOffset>153035</wp:posOffset>
              </wp:positionV>
              <wp:extent cx="76200" cy="182245"/>
              <wp:effectExtent l="0" t="0" r="0" b="0"/>
              <wp:wrapNone/>
              <wp:docPr id="5" name="文本框 8"/>
              <wp:cNvGraphicFramePr/>
              <a:graphic xmlns:a="http://schemas.openxmlformats.org/drawingml/2006/main">
                <a:graphicData uri="http://schemas.microsoft.com/office/word/2010/wordprocessingShape">
                  <wps:wsp>
                    <wps:cNvSpPr txBox="1"/>
                    <wps:spPr>
                      <a:xfrm flipV="1">
                        <a:off x="0" y="0"/>
                        <a:ext cx="76200" cy="182245"/>
                      </a:xfrm>
                      <a:prstGeom prst="rect">
                        <a:avLst/>
                      </a:prstGeom>
                      <a:noFill/>
                      <a:ln>
                        <a:noFill/>
                      </a:ln>
                    </wps:spPr>
                    <wps:txbx>
                      <w:txbxContent>
                        <w:p w14:paraId="46E022E0"/>
                      </w:txbxContent>
                    </wps:txbx>
                    <wps:bodyPr lIns="0" tIns="0" rIns="0" bIns="0"/>
                  </wps:wsp>
                </a:graphicData>
              </a:graphic>
            </wp:anchor>
          </w:drawing>
        </mc:Choice>
        <mc:Fallback>
          <w:pict>
            <v:shape id="文本框 8" o:spid="_x0000_s1026" o:spt="202" type="#_x0000_t202" style="position:absolute;left:0pt;flip:y;margin-left:429.6pt;margin-top:12.05pt;height:14.35pt;width:6pt;mso-position-horizontal-relative:margin;z-index:251659264;mso-width-relative:page;mso-height-relative:page;" filled="f" stroked="f" coordsize="21600,21600" o:gfxdata="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CSImUR2AAAAAkBAAAPAAAAAAAAAAEAIAAAACIAAABkcnMvZG93bnJldi54bWxQSwECFAAU&#10;AAAACACHTuJAgM0xtLgBAABuAwAADgAAAAAAAAABACAAAAAnAQAAZHJzL2Uyb0RvYy54bWxQSwUG&#10;AAAAAAYABgBZAQAAUQUAAAAA&#10;">
              <v:fill on="f" focussize="0,0"/>
              <v:stroke on="f"/>
              <v:imagedata o:title=""/>
              <o:lock v:ext="edit" aspectratio="f"/>
              <v:textbox inset="0mm,0mm,0mm,0mm">
                <w:txbxContent>
                  <w:p w14:paraId="46E022E0"/>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175F4F">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206206">
    <w:pPr>
      <w:jc w:val="cente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F70000">
                          <w:pPr>
                            <w:pStyle w:val="26"/>
                          </w:pPr>
                          <w:r>
                            <w:t xml:space="preserve">第 </w:t>
                          </w:r>
                          <w:r>
                            <w:fldChar w:fldCharType="begin"/>
                          </w:r>
                          <w:r>
                            <w:instrText xml:space="preserve"> PAGE  \* MERGEFORMAT </w:instrText>
                          </w:r>
                          <w:r>
                            <w:fldChar w:fldCharType="separate"/>
                          </w:r>
                          <w:r>
                            <w:t>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0AF70000">
                    <w:pPr>
                      <w:pStyle w:val="26"/>
                    </w:pPr>
                    <w:r>
                      <w:t xml:space="preserve">第 </w:t>
                    </w:r>
                    <w:r>
                      <w:fldChar w:fldCharType="begin"/>
                    </w:r>
                    <w:r>
                      <w:instrText xml:space="preserve"> PAGE  \* MERGEFORMAT </w:instrText>
                    </w:r>
                    <w:r>
                      <w:fldChar w:fldCharType="separate"/>
                    </w:r>
                    <w:r>
                      <w:t>3</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99FD68">
    <w:pPr>
      <w:jc w:val="center"/>
    </w:pPr>
    <w:r>
      <w:rPr>
        <w:sz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416F3D">
                          <w:pPr>
                            <w:pStyle w:val="26"/>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19416F3D">
                    <w:pPr>
                      <w:pStyle w:val="26"/>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EDE721">
    <w:pPr>
      <w:pStyle w:val="28"/>
      <w:pBdr>
        <w:bottom w:val="double" w:color="auto" w:sz="8" w:space="1"/>
      </w:pBdr>
      <w:tabs>
        <w:tab w:val="left" w:pos="9514"/>
      </w:tabs>
      <w:ind w:left="1440" w:hanging="1440" w:hangingChars="900"/>
      <w:jc w:val="both"/>
      <w:rPr>
        <w:rFonts w:hint="eastAsia" w:ascii="宋体" w:hAnsi="宋体" w:cs="宋体"/>
      </w:rPr>
    </w:pPr>
    <w:r>
      <w:rPr>
        <w:rFonts w:hint="eastAsia" w:ascii="宋体" w:hAnsi="宋体" w:cs="宋体"/>
        <w:sz w:val="16"/>
        <w:szCs w:val="16"/>
        <w:lang w:eastAsia="zh-CN"/>
      </w:rPr>
      <w:t>玉溪职业技术学院（云南省玉溪工业财贸学校）改善办学条件采购项目</w:t>
    </w:r>
    <w:r>
      <w:rPr>
        <w:rFonts w:hint="eastAsia" w:ascii="宋体" w:hAnsi="宋体" w:cs="宋体"/>
        <w:sz w:val="16"/>
        <w:szCs w:val="16"/>
      </w:rPr>
      <w:t xml:space="preserve">   </w:t>
    </w:r>
    <w:r>
      <w:rPr>
        <w:rFonts w:hint="eastAsia" w:ascii="宋体" w:hAnsi="宋体" w:cs="宋体"/>
        <w:sz w:val="16"/>
        <w:szCs w:val="16"/>
        <w:lang w:val="en-US" w:eastAsia="zh-CN"/>
      </w:rPr>
      <w:t xml:space="preserve">  </w:t>
    </w:r>
    <w:r>
      <w:rPr>
        <w:rFonts w:hint="eastAsia" w:ascii="宋体" w:hAnsi="宋体" w:cs="宋体"/>
        <w:sz w:val="16"/>
        <w:szCs w:val="16"/>
      </w:rPr>
      <w:t xml:space="preserve">                     </w:t>
    </w:r>
    <w:r>
      <w:rPr>
        <w:rFonts w:hint="eastAsia" w:ascii="宋体" w:hAnsi="宋体" w:cs="宋体"/>
        <w:sz w:val="16"/>
        <w:szCs w:val="16"/>
        <w:lang w:val="en-US" w:eastAsia="zh-CN"/>
      </w:rPr>
      <w:t xml:space="preserve">         </w:t>
    </w:r>
    <w:r>
      <w:rPr>
        <w:rFonts w:hint="eastAsia" w:ascii="宋体" w:hAnsi="宋体" w:cs="宋体"/>
        <w:sz w:val="16"/>
        <w:szCs w:val="16"/>
      </w:rPr>
      <w:t xml:space="preserve">            招标文件</w:t>
    </w:r>
    <w:r>
      <w:rPr>
        <w:rFonts w:hint="eastAsia" w:ascii="宋体" w:hAnsi="宋体" w:cs="宋体"/>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83E324">
    <w:pPr>
      <w:pStyle w:val="28"/>
      <w:pBdr>
        <w:top w:val="none" w:color="auto" w:sz="0" w:space="1"/>
        <w:left w:val="none" w:color="auto" w:sz="0" w:space="4"/>
        <w:bottom w:val="none" w:color="auto" w:sz="0" w:space="1"/>
        <w:right w:val="none" w:color="auto" w:sz="0" w:space="4"/>
      </w:pBdr>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A7A4CC">
    <w:pPr>
      <w:pStyle w:val="28"/>
      <w:pBdr>
        <w:bottom w:val="double" w:color="auto" w:sz="8" w:space="1"/>
      </w:pBdr>
      <w:jc w:val="both"/>
    </w:pPr>
    <w:r>
      <w:rPr>
        <w:rFonts w:hint="eastAsia" w:ascii="宋体" w:hAnsi="宋体" w:cs="宋体"/>
        <w:lang w:eastAsia="zh-CN"/>
      </w:rPr>
      <w:t>玉溪职业技术学院（云南省玉溪工业财贸学校）改善办学条件采购项目</w:t>
    </w:r>
    <w:r>
      <w:rPr>
        <w:rFonts w:hint="eastAsia" w:ascii="宋体" w:hAnsi="宋体" w:cs="宋体"/>
      </w:rPr>
      <w:t xml:space="preserve">  </w:t>
    </w:r>
    <w:r>
      <w:rPr>
        <w:rFonts w:hint="eastAsia" w:ascii="宋体" w:hAnsi="宋体" w:cs="宋体"/>
        <w:lang w:val="en-US" w:eastAsia="zh-CN"/>
      </w:rPr>
      <w:t xml:space="preserve">                             </w:t>
    </w:r>
    <w:r>
      <w:rPr>
        <w:rFonts w:hint="eastAsia" w:ascii="宋体" w:hAnsi="宋体" w:cs="宋体"/>
      </w:rPr>
      <w:t xml:space="preserve">    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66D500"/>
    <w:multiLevelType w:val="singleLevel"/>
    <w:tmpl w:val="C566D500"/>
    <w:lvl w:ilvl="0" w:tentative="0">
      <w:start w:val="1"/>
      <w:numFmt w:val="chineseCounting"/>
      <w:suff w:val="nothing"/>
      <w:lvlText w:val="%1、"/>
      <w:lvlJc w:val="left"/>
      <w:rPr>
        <w:rFonts w:hint="eastAsia"/>
      </w:rPr>
    </w:lvl>
  </w:abstractNum>
  <w:abstractNum w:abstractNumId="1">
    <w:nsid w:val="D7B1080B"/>
    <w:multiLevelType w:val="singleLevel"/>
    <w:tmpl w:val="D7B1080B"/>
    <w:lvl w:ilvl="0" w:tentative="0">
      <w:start w:val="1"/>
      <w:numFmt w:val="decimal"/>
      <w:lvlText w:val="%1."/>
      <w:lvlJc w:val="left"/>
      <w:pPr>
        <w:tabs>
          <w:tab w:val="left" w:pos="312"/>
        </w:tabs>
      </w:pPr>
    </w:lvl>
  </w:abstractNum>
  <w:abstractNum w:abstractNumId="2">
    <w:nsid w:val="04EE0F14"/>
    <w:multiLevelType w:val="singleLevel"/>
    <w:tmpl w:val="04EE0F14"/>
    <w:lvl w:ilvl="0" w:tentative="0">
      <w:start w:val="7"/>
      <w:numFmt w:val="decimal"/>
      <w:lvlText w:val="%1."/>
      <w:lvlJc w:val="left"/>
      <w:pPr>
        <w:tabs>
          <w:tab w:val="left" w:pos="312"/>
        </w:tabs>
      </w:pPr>
    </w:lvl>
  </w:abstractNum>
  <w:abstractNum w:abstractNumId="3">
    <w:nsid w:val="25C0B3C5"/>
    <w:multiLevelType w:val="singleLevel"/>
    <w:tmpl w:val="25C0B3C5"/>
    <w:lvl w:ilvl="0" w:tentative="0">
      <w:start w:val="1"/>
      <w:numFmt w:val="decimal"/>
      <w:lvlText w:val="%1."/>
      <w:lvlJc w:val="left"/>
      <w:pPr>
        <w:tabs>
          <w:tab w:val="left" w:pos="312"/>
        </w:tabs>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displayBackgroundShape w:val="1"/>
  <w:bordersDoNotSurroundHeader w:val="0"/>
  <w:bordersDoNotSurroundFooter w:val="0"/>
  <w:documentProtection w:enforcement="0"/>
  <w:defaultTabStop w:val="420"/>
  <w:drawingGridHorizontalSpacing w:val="210"/>
  <w:drawingGridVerticalSpacing w:val="159"/>
  <w:displayHorizontalDrawingGridEvery w:val="1"/>
  <w:displayVerticalDrawingGridEvery w:val="1"/>
  <w:doNotShadeFormData w:val="1"/>
  <w:noPunctuationKerning w:val="1"/>
  <w:characterSpacingControl w:val="compressPunctuation"/>
  <w:noLineBreaksAfter w:lang="zh-CN" w:val="([{·‘“〈《「『【〔〖（．［｛￡￥"/>
  <w:noLineBreaksBefore w:lang="zh-CN" w:val="!),.:;?]}¨·ˇˉ―‖’”…∶、。〃々〉》」』】〕〗！＂＇），．：；？］｀｜｝～￠"/>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IwMDU5YzQwNmZmYjBjODI1YWI4NjljYzMxMTVmNDQifQ=="/>
  </w:docVars>
  <w:rsids>
    <w:rsidRoot w:val="00172A27"/>
    <w:rsid w:val="00000583"/>
    <w:rsid w:val="00000DB9"/>
    <w:rsid w:val="00001D15"/>
    <w:rsid w:val="00001D57"/>
    <w:rsid w:val="0000208E"/>
    <w:rsid w:val="0000310B"/>
    <w:rsid w:val="000036BA"/>
    <w:rsid w:val="00003913"/>
    <w:rsid w:val="00004FBB"/>
    <w:rsid w:val="00006E60"/>
    <w:rsid w:val="00010A4F"/>
    <w:rsid w:val="00011174"/>
    <w:rsid w:val="00013B47"/>
    <w:rsid w:val="00015278"/>
    <w:rsid w:val="000166AC"/>
    <w:rsid w:val="000218A1"/>
    <w:rsid w:val="000240CF"/>
    <w:rsid w:val="00025128"/>
    <w:rsid w:val="0002582D"/>
    <w:rsid w:val="000260E9"/>
    <w:rsid w:val="00026478"/>
    <w:rsid w:val="00027683"/>
    <w:rsid w:val="0003012D"/>
    <w:rsid w:val="00031535"/>
    <w:rsid w:val="00031D40"/>
    <w:rsid w:val="000329BF"/>
    <w:rsid w:val="00032A06"/>
    <w:rsid w:val="00032CC2"/>
    <w:rsid w:val="00036C5B"/>
    <w:rsid w:val="00040B5D"/>
    <w:rsid w:val="00040D02"/>
    <w:rsid w:val="00042146"/>
    <w:rsid w:val="000426F3"/>
    <w:rsid w:val="0004345F"/>
    <w:rsid w:val="0004449A"/>
    <w:rsid w:val="000448A7"/>
    <w:rsid w:val="00044C52"/>
    <w:rsid w:val="000451C9"/>
    <w:rsid w:val="00045CD7"/>
    <w:rsid w:val="0004650F"/>
    <w:rsid w:val="00046F29"/>
    <w:rsid w:val="0004770E"/>
    <w:rsid w:val="00051754"/>
    <w:rsid w:val="000524BB"/>
    <w:rsid w:val="000535E0"/>
    <w:rsid w:val="0005412C"/>
    <w:rsid w:val="00055DD1"/>
    <w:rsid w:val="00056C34"/>
    <w:rsid w:val="00056CAB"/>
    <w:rsid w:val="000610AC"/>
    <w:rsid w:val="00062063"/>
    <w:rsid w:val="00062C89"/>
    <w:rsid w:val="00062E82"/>
    <w:rsid w:val="0006341E"/>
    <w:rsid w:val="0006413E"/>
    <w:rsid w:val="00065286"/>
    <w:rsid w:val="00066C5D"/>
    <w:rsid w:val="00066C9D"/>
    <w:rsid w:val="000671BB"/>
    <w:rsid w:val="00067A6D"/>
    <w:rsid w:val="00071493"/>
    <w:rsid w:val="00071F8D"/>
    <w:rsid w:val="00072343"/>
    <w:rsid w:val="00073050"/>
    <w:rsid w:val="0007341A"/>
    <w:rsid w:val="00076216"/>
    <w:rsid w:val="00076494"/>
    <w:rsid w:val="00077740"/>
    <w:rsid w:val="00080112"/>
    <w:rsid w:val="00080C62"/>
    <w:rsid w:val="000827D2"/>
    <w:rsid w:val="000828C7"/>
    <w:rsid w:val="00083313"/>
    <w:rsid w:val="0008391A"/>
    <w:rsid w:val="000875F4"/>
    <w:rsid w:val="00090397"/>
    <w:rsid w:val="00092C1C"/>
    <w:rsid w:val="00092CBA"/>
    <w:rsid w:val="00093275"/>
    <w:rsid w:val="000937DF"/>
    <w:rsid w:val="00093A38"/>
    <w:rsid w:val="00095067"/>
    <w:rsid w:val="000961A8"/>
    <w:rsid w:val="000964E0"/>
    <w:rsid w:val="00097220"/>
    <w:rsid w:val="000A0BC7"/>
    <w:rsid w:val="000A10BF"/>
    <w:rsid w:val="000A2AC4"/>
    <w:rsid w:val="000A5E72"/>
    <w:rsid w:val="000A677C"/>
    <w:rsid w:val="000A7C1C"/>
    <w:rsid w:val="000B1E4E"/>
    <w:rsid w:val="000B1F0E"/>
    <w:rsid w:val="000B243F"/>
    <w:rsid w:val="000B5218"/>
    <w:rsid w:val="000B574C"/>
    <w:rsid w:val="000B5B08"/>
    <w:rsid w:val="000C1581"/>
    <w:rsid w:val="000C1F63"/>
    <w:rsid w:val="000C4CFD"/>
    <w:rsid w:val="000C6224"/>
    <w:rsid w:val="000D13A6"/>
    <w:rsid w:val="000D2DB2"/>
    <w:rsid w:val="000D6D2A"/>
    <w:rsid w:val="000E0A9E"/>
    <w:rsid w:val="000E0C3C"/>
    <w:rsid w:val="000E347D"/>
    <w:rsid w:val="000E457B"/>
    <w:rsid w:val="000E4582"/>
    <w:rsid w:val="000E4708"/>
    <w:rsid w:val="000E7ED9"/>
    <w:rsid w:val="000F104F"/>
    <w:rsid w:val="000F129A"/>
    <w:rsid w:val="000F2E32"/>
    <w:rsid w:val="000F317B"/>
    <w:rsid w:val="000F3C8C"/>
    <w:rsid w:val="000F6355"/>
    <w:rsid w:val="000F6B6E"/>
    <w:rsid w:val="0010066B"/>
    <w:rsid w:val="00100DA4"/>
    <w:rsid w:val="001011FD"/>
    <w:rsid w:val="001033EC"/>
    <w:rsid w:val="00103D33"/>
    <w:rsid w:val="00104F48"/>
    <w:rsid w:val="001052AD"/>
    <w:rsid w:val="00105365"/>
    <w:rsid w:val="00105AEC"/>
    <w:rsid w:val="00107FF5"/>
    <w:rsid w:val="001110DC"/>
    <w:rsid w:val="00111C8D"/>
    <w:rsid w:val="0011243F"/>
    <w:rsid w:val="00113BC4"/>
    <w:rsid w:val="001141A1"/>
    <w:rsid w:val="001147AB"/>
    <w:rsid w:val="00114F28"/>
    <w:rsid w:val="001164B8"/>
    <w:rsid w:val="00121A2D"/>
    <w:rsid w:val="00121F3F"/>
    <w:rsid w:val="0012249E"/>
    <w:rsid w:val="001226B7"/>
    <w:rsid w:val="001237F2"/>
    <w:rsid w:val="00125FB0"/>
    <w:rsid w:val="00126F52"/>
    <w:rsid w:val="00130039"/>
    <w:rsid w:val="0013047F"/>
    <w:rsid w:val="00132A0B"/>
    <w:rsid w:val="00136783"/>
    <w:rsid w:val="0013787F"/>
    <w:rsid w:val="00137B64"/>
    <w:rsid w:val="00140033"/>
    <w:rsid w:val="001407FD"/>
    <w:rsid w:val="001420C9"/>
    <w:rsid w:val="00142576"/>
    <w:rsid w:val="001429EA"/>
    <w:rsid w:val="00143494"/>
    <w:rsid w:val="0014457B"/>
    <w:rsid w:val="00146D70"/>
    <w:rsid w:val="00147B7F"/>
    <w:rsid w:val="0015050F"/>
    <w:rsid w:val="00150C25"/>
    <w:rsid w:val="00151B48"/>
    <w:rsid w:val="00152040"/>
    <w:rsid w:val="0015224A"/>
    <w:rsid w:val="001534FE"/>
    <w:rsid w:val="0015367E"/>
    <w:rsid w:val="00153DB5"/>
    <w:rsid w:val="00157B0D"/>
    <w:rsid w:val="00160D46"/>
    <w:rsid w:val="00161DDC"/>
    <w:rsid w:val="00162354"/>
    <w:rsid w:val="001623BF"/>
    <w:rsid w:val="00162CDB"/>
    <w:rsid w:val="00165C3A"/>
    <w:rsid w:val="0016689E"/>
    <w:rsid w:val="00167409"/>
    <w:rsid w:val="00167518"/>
    <w:rsid w:val="00170AD0"/>
    <w:rsid w:val="00171665"/>
    <w:rsid w:val="00172A27"/>
    <w:rsid w:val="00173330"/>
    <w:rsid w:val="001733CB"/>
    <w:rsid w:val="00175251"/>
    <w:rsid w:val="00176BCD"/>
    <w:rsid w:val="00180408"/>
    <w:rsid w:val="001825F4"/>
    <w:rsid w:val="001833F7"/>
    <w:rsid w:val="00183FA8"/>
    <w:rsid w:val="00186330"/>
    <w:rsid w:val="00191A30"/>
    <w:rsid w:val="00192913"/>
    <w:rsid w:val="001935F2"/>
    <w:rsid w:val="00194009"/>
    <w:rsid w:val="0019551F"/>
    <w:rsid w:val="00197651"/>
    <w:rsid w:val="001A1403"/>
    <w:rsid w:val="001A166A"/>
    <w:rsid w:val="001A30C1"/>
    <w:rsid w:val="001A3199"/>
    <w:rsid w:val="001A3C3B"/>
    <w:rsid w:val="001A3FF0"/>
    <w:rsid w:val="001A424B"/>
    <w:rsid w:val="001A45DA"/>
    <w:rsid w:val="001A541E"/>
    <w:rsid w:val="001A7593"/>
    <w:rsid w:val="001B1604"/>
    <w:rsid w:val="001B46A7"/>
    <w:rsid w:val="001B7DD2"/>
    <w:rsid w:val="001B7FBA"/>
    <w:rsid w:val="001C1F41"/>
    <w:rsid w:val="001C5BD0"/>
    <w:rsid w:val="001C6922"/>
    <w:rsid w:val="001C7796"/>
    <w:rsid w:val="001C77AD"/>
    <w:rsid w:val="001D0835"/>
    <w:rsid w:val="001D0E6B"/>
    <w:rsid w:val="001D1402"/>
    <w:rsid w:val="001D1468"/>
    <w:rsid w:val="001D2431"/>
    <w:rsid w:val="001D2BE1"/>
    <w:rsid w:val="001D2FD9"/>
    <w:rsid w:val="001D2FED"/>
    <w:rsid w:val="001D46D4"/>
    <w:rsid w:val="001D4D22"/>
    <w:rsid w:val="001D4E1F"/>
    <w:rsid w:val="001D4FFC"/>
    <w:rsid w:val="001D5234"/>
    <w:rsid w:val="001D558F"/>
    <w:rsid w:val="001D6937"/>
    <w:rsid w:val="001D7B47"/>
    <w:rsid w:val="001E04EE"/>
    <w:rsid w:val="001E14AE"/>
    <w:rsid w:val="001E455B"/>
    <w:rsid w:val="001E49E2"/>
    <w:rsid w:val="001E4A9F"/>
    <w:rsid w:val="001E4D01"/>
    <w:rsid w:val="001E4DC3"/>
    <w:rsid w:val="001E4F6D"/>
    <w:rsid w:val="001E5E29"/>
    <w:rsid w:val="001E6966"/>
    <w:rsid w:val="001F12CE"/>
    <w:rsid w:val="001F2179"/>
    <w:rsid w:val="001F2E37"/>
    <w:rsid w:val="001F356D"/>
    <w:rsid w:val="001F3CD7"/>
    <w:rsid w:val="001F572F"/>
    <w:rsid w:val="001F6614"/>
    <w:rsid w:val="001F6CB8"/>
    <w:rsid w:val="001F6CF5"/>
    <w:rsid w:val="001F7568"/>
    <w:rsid w:val="0020007A"/>
    <w:rsid w:val="00200D61"/>
    <w:rsid w:val="00207974"/>
    <w:rsid w:val="00210CC2"/>
    <w:rsid w:val="00210E2C"/>
    <w:rsid w:val="002118C0"/>
    <w:rsid w:val="00211A2E"/>
    <w:rsid w:val="00211B11"/>
    <w:rsid w:val="002124CB"/>
    <w:rsid w:val="002149AF"/>
    <w:rsid w:val="00215260"/>
    <w:rsid w:val="00217C85"/>
    <w:rsid w:val="00221EAF"/>
    <w:rsid w:val="002239F0"/>
    <w:rsid w:val="00226315"/>
    <w:rsid w:val="00226EC0"/>
    <w:rsid w:val="00227635"/>
    <w:rsid w:val="00227C7D"/>
    <w:rsid w:val="00230155"/>
    <w:rsid w:val="002306D7"/>
    <w:rsid w:val="00231235"/>
    <w:rsid w:val="00231D89"/>
    <w:rsid w:val="0023489E"/>
    <w:rsid w:val="00235FC7"/>
    <w:rsid w:val="00237596"/>
    <w:rsid w:val="002403E9"/>
    <w:rsid w:val="00240E32"/>
    <w:rsid w:val="002417F1"/>
    <w:rsid w:val="002420F3"/>
    <w:rsid w:val="002427ED"/>
    <w:rsid w:val="0024331C"/>
    <w:rsid w:val="00243A69"/>
    <w:rsid w:val="00243B76"/>
    <w:rsid w:val="00243D22"/>
    <w:rsid w:val="002441F0"/>
    <w:rsid w:val="00245761"/>
    <w:rsid w:val="00246C86"/>
    <w:rsid w:val="00247D03"/>
    <w:rsid w:val="00247ECF"/>
    <w:rsid w:val="00251710"/>
    <w:rsid w:val="00251D5A"/>
    <w:rsid w:val="00252186"/>
    <w:rsid w:val="00252947"/>
    <w:rsid w:val="00255D56"/>
    <w:rsid w:val="002560CD"/>
    <w:rsid w:val="00260430"/>
    <w:rsid w:val="00260A94"/>
    <w:rsid w:val="002613CE"/>
    <w:rsid w:val="002616AA"/>
    <w:rsid w:val="0026230E"/>
    <w:rsid w:val="00264DB1"/>
    <w:rsid w:val="002663DE"/>
    <w:rsid w:val="00267076"/>
    <w:rsid w:val="002702C1"/>
    <w:rsid w:val="0027049D"/>
    <w:rsid w:val="0027248E"/>
    <w:rsid w:val="00272A0C"/>
    <w:rsid w:val="002739EC"/>
    <w:rsid w:val="00273D46"/>
    <w:rsid w:val="00274CF2"/>
    <w:rsid w:val="00275C00"/>
    <w:rsid w:val="00275C64"/>
    <w:rsid w:val="0027736D"/>
    <w:rsid w:val="00280534"/>
    <w:rsid w:val="00281805"/>
    <w:rsid w:val="002838B5"/>
    <w:rsid w:val="00283E77"/>
    <w:rsid w:val="00285D37"/>
    <w:rsid w:val="002876C3"/>
    <w:rsid w:val="002877E6"/>
    <w:rsid w:val="00290FD9"/>
    <w:rsid w:val="002911BD"/>
    <w:rsid w:val="002920D4"/>
    <w:rsid w:val="00292311"/>
    <w:rsid w:val="00293308"/>
    <w:rsid w:val="00293AB3"/>
    <w:rsid w:val="00293D27"/>
    <w:rsid w:val="00294013"/>
    <w:rsid w:val="00294AB6"/>
    <w:rsid w:val="002958AC"/>
    <w:rsid w:val="00296201"/>
    <w:rsid w:val="002A0D7D"/>
    <w:rsid w:val="002A1B78"/>
    <w:rsid w:val="002A3021"/>
    <w:rsid w:val="002A3253"/>
    <w:rsid w:val="002A40DC"/>
    <w:rsid w:val="002A566F"/>
    <w:rsid w:val="002A58FD"/>
    <w:rsid w:val="002A5BAB"/>
    <w:rsid w:val="002A6641"/>
    <w:rsid w:val="002A6DDE"/>
    <w:rsid w:val="002B0105"/>
    <w:rsid w:val="002B1FE9"/>
    <w:rsid w:val="002B4111"/>
    <w:rsid w:val="002B59CE"/>
    <w:rsid w:val="002B783B"/>
    <w:rsid w:val="002C1296"/>
    <w:rsid w:val="002C1B81"/>
    <w:rsid w:val="002C3355"/>
    <w:rsid w:val="002C3CF8"/>
    <w:rsid w:val="002C6107"/>
    <w:rsid w:val="002D28FC"/>
    <w:rsid w:val="002D29C7"/>
    <w:rsid w:val="002D2D09"/>
    <w:rsid w:val="002D318B"/>
    <w:rsid w:val="002D3EB7"/>
    <w:rsid w:val="002D760A"/>
    <w:rsid w:val="002E0A42"/>
    <w:rsid w:val="002E1D66"/>
    <w:rsid w:val="002E246E"/>
    <w:rsid w:val="002E2676"/>
    <w:rsid w:val="002E47C4"/>
    <w:rsid w:val="002E57F3"/>
    <w:rsid w:val="002E5D9B"/>
    <w:rsid w:val="002E665C"/>
    <w:rsid w:val="002E6C4A"/>
    <w:rsid w:val="002E7017"/>
    <w:rsid w:val="002E73E3"/>
    <w:rsid w:val="002F3025"/>
    <w:rsid w:val="002F5058"/>
    <w:rsid w:val="002F54C6"/>
    <w:rsid w:val="002F5B21"/>
    <w:rsid w:val="003003E7"/>
    <w:rsid w:val="0030158E"/>
    <w:rsid w:val="00301765"/>
    <w:rsid w:val="00301C87"/>
    <w:rsid w:val="003020F5"/>
    <w:rsid w:val="0030293A"/>
    <w:rsid w:val="0030479E"/>
    <w:rsid w:val="003079D3"/>
    <w:rsid w:val="003105C7"/>
    <w:rsid w:val="00310D65"/>
    <w:rsid w:val="00311006"/>
    <w:rsid w:val="00312072"/>
    <w:rsid w:val="00313A53"/>
    <w:rsid w:val="00313E20"/>
    <w:rsid w:val="00314A2F"/>
    <w:rsid w:val="0031507A"/>
    <w:rsid w:val="00316250"/>
    <w:rsid w:val="00317C71"/>
    <w:rsid w:val="00321C23"/>
    <w:rsid w:val="00321CAB"/>
    <w:rsid w:val="00321F17"/>
    <w:rsid w:val="00322CDE"/>
    <w:rsid w:val="00322F65"/>
    <w:rsid w:val="003237BA"/>
    <w:rsid w:val="003239C0"/>
    <w:rsid w:val="00323F71"/>
    <w:rsid w:val="003253C5"/>
    <w:rsid w:val="00325787"/>
    <w:rsid w:val="00327689"/>
    <w:rsid w:val="00331AEF"/>
    <w:rsid w:val="003321BA"/>
    <w:rsid w:val="00333EB1"/>
    <w:rsid w:val="00333F4D"/>
    <w:rsid w:val="00334631"/>
    <w:rsid w:val="00335900"/>
    <w:rsid w:val="00335F7F"/>
    <w:rsid w:val="003361A0"/>
    <w:rsid w:val="0033627B"/>
    <w:rsid w:val="00336F41"/>
    <w:rsid w:val="003412A9"/>
    <w:rsid w:val="003413C4"/>
    <w:rsid w:val="00345D3A"/>
    <w:rsid w:val="003465A7"/>
    <w:rsid w:val="003472A9"/>
    <w:rsid w:val="00351120"/>
    <w:rsid w:val="00353966"/>
    <w:rsid w:val="00353DF5"/>
    <w:rsid w:val="00354DA3"/>
    <w:rsid w:val="0035519A"/>
    <w:rsid w:val="00355999"/>
    <w:rsid w:val="00355CBD"/>
    <w:rsid w:val="003561EB"/>
    <w:rsid w:val="00357105"/>
    <w:rsid w:val="003601A7"/>
    <w:rsid w:val="00360228"/>
    <w:rsid w:val="00361A02"/>
    <w:rsid w:val="0036223A"/>
    <w:rsid w:val="003622FE"/>
    <w:rsid w:val="003660E3"/>
    <w:rsid w:val="0036689E"/>
    <w:rsid w:val="0036709F"/>
    <w:rsid w:val="003674CC"/>
    <w:rsid w:val="003707BD"/>
    <w:rsid w:val="00372383"/>
    <w:rsid w:val="00373024"/>
    <w:rsid w:val="00376750"/>
    <w:rsid w:val="00376877"/>
    <w:rsid w:val="0038082D"/>
    <w:rsid w:val="003810DD"/>
    <w:rsid w:val="003838E6"/>
    <w:rsid w:val="00386F82"/>
    <w:rsid w:val="0039025C"/>
    <w:rsid w:val="00390EA2"/>
    <w:rsid w:val="0039170B"/>
    <w:rsid w:val="00391B37"/>
    <w:rsid w:val="00392843"/>
    <w:rsid w:val="00394241"/>
    <w:rsid w:val="00395DDB"/>
    <w:rsid w:val="0039696B"/>
    <w:rsid w:val="003970E0"/>
    <w:rsid w:val="003A135F"/>
    <w:rsid w:val="003A18F1"/>
    <w:rsid w:val="003A30B3"/>
    <w:rsid w:val="003A3611"/>
    <w:rsid w:val="003A3AEE"/>
    <w:rsid w:val="003A41CA"/>
    <w:rsid w:val="003A4966"/>
    <w:rsid w:val="003A4CFD"/>
    <w:rsid w:val="003A5AE4"/>
    <w:rsid w:val="003A70CE"/>
    <w:rsid w:val="003A72E3"/>
    <w:rsid w:val="003B11EE"/>
    <w:rsid w:val="003B2454"/>
    <w:rsid w:val="003B6582"/>
    <w:rsid w:val="003B7B03"/>
    <w:rsid w:val="003C0B72"/>
    <w:rsid w:val="003C2A6A"/>
    <w:rsid w:val="003C3248"/>
    <w:rsid w:val="003C349C"/>
    <w:rsid w:val="003C363D"/>
    <w:rsid w:val="003C5085"/>
    <w:rsid w:val="003C51FF"/>
    <w:rsid w:val="003C5B68"/>
    <w:rsid w:val="003C6478"/>
    <w:rsid w:val="003D091D"/>
    <w:rsid w:val="003D105D"/>
    <w:rsid w:val="003D212F"/>
    <w:rsid w:val="003D2164"/>
    <w:rsid w:val="003D2224"/>
    <w:rsid w:val="003D2FCA"/>
    <w:rsid w:val="003D3A2F"/>
    <w:rsid w:val="003D4CDB"/>
    <w:rsid w:val="003D5356"/>
    <w:rsid w:val="003D5597"/>
    <w:rsid w:val="003D59D6"/>
    <w:rsid w:val="003E0DFF"/>
    <w:rsid w:val="003E2670"/>
    <w:rsid w:val="003E27F4"/>
    <w:rsid w:val="003E70DD"/>
    <w:rsid w:val="003E7872"/>
    <w:rsid w:val="003F009D"/>
    <w:rsid w:val="003F11C3"/>
    <w:rsid w:val="003F289B"/>
    <w:rsid w:val="003F3AC1"/>
    <w:rsid w:val="003F4C7D"/>
    <w:rsid w:val="003F4CDB"/>
    <w:rsid w:val="003F65D6"/>
    <w:rsid w:val="003F6D47"/>
    <w:rsid w:val="00404A96"/>
    <w:rsid w:val="00405630"/>
    <w:rsid w:val="004062CA"/>
    <w:rsid w:val="004067EB"/>
    <w:rsid w:val="00406BA1"/>
    <w:rsid w:val="004100DD"/>
    <w:rsid w:val="00410F40"/>
    <w:rsid w:val="00412580"/>
    <w:rsid w:val="004127FC"/>
    <w:rsid w:val="00413294"/>
    <w:rsid w:val="00413E4F"/>
    <w:rsid w:val="004143F1"/>
    <w:rsid w:val="004153E8"/>
    <w:rsid w:val="00416FDE"/>
    <w:rsid w:val="004170B2"/>
    <w:rsid w:val="0042010B"/>
    <w:rsid w:val="00423677"/>
    <w:rsid w:val="0042468A"/>
    <w:rsid w:val="0042655D"/>
    <w:rsid w:val="004308C1"/>
    <w:rsid w:val="0043249F"/>
    <w:rsid w:val="0043277C"/>
    <w:rsid w:val="00435E3D"/>
    <w:rsid w:val="00436B47"/>
    <w:rsid w:val="0043754C"/>
    <w:rsid w:val="00442003"/>
    <w:rsid w:val="004420FE"/>
    <w:rsid w:val="004421F1"/>
    <w:rsid w:val="00442B28"/>
    <w:rsid w:val="00445191"/>
    <w:rsid w:val="004473FF"/>
    <w:rsid w:val="00447B3E"/>
    <w:rsid w:val="00452D07"/>
    <w:rsid w:val="00453CA9"/>
    <w:rsid w:val="00454598"/>
    <w:rsid w:val="00454A75"/>
    <w:rsid w:val="00454BF9"/>
    <w:rsid w:val="004574A3"/>
    <w:rsid w:val="0045753A"/>
    <w:rsid w:val="00457C75"/>
    <w:rsid w:val="00460A9F"/>
    <w:rsid w:val="00460AB8"/>
    <w:rsid w:val="00460D42"/>
    <w:rsid w:val="004613D6"/>
    <w:rsid w:val="00461EBA"/>
    <w:rsid w:val="00462379"/>
    <w:rsid w:val="0046284F"/>
    <w:rsid w:val="00463158"/>
    <w:rsid w:val="0046468A"/>
    <w:rsid w:val="004654A9"/>
    <w:rsid w:val="004658DA"/>
    <w:rsid w:val="00465A54"/>
    <w:rsid w:val="00466A00"/>
    <w:rsid w:val="00466A16"/>
    <w:rsid w:val="004709D1"/>
    <w:rsid w:val="00470B19"/>
    <w:rsid w:val="00472A13"/>
    <w:rsid w:val="004736E3"/>
    <w:rsid w:val="0047562A"/>
    <w:rsid w:val="0047737D"/>
    <w:rsid w:val="004779AA"/>
    <w:rsid w:val="004823F5"/>
    <w:rsid w:val="004836F9"/>
    <w:rsid w:val="00483BDD"/>
    <w:rsid w:val="00483E76"/>
    <w:rsid w:val="00483F5C"/>
    <w:rsid w:val="00484F66"/>
    <w:rsid w:val="00487E11"/>
    <w:rsid w:val="004906FE"/>
    <w:rsid w:val="00491EC2"/>
    <w:rsid w:val="00491F96"/>
    <w:rsid w:val="0049241D"/>
    <w:rsid w:val="0049280C"/>
    <w:rsid w:val="004939D4"/>
    <w:rsid w:val="00493D6E"/>
    <w:rsid w:val="00494537"/>
    <w:rsid w:val="0049500E"/>
    <w:rsid w:val="00495FAD"/>
    <w:rsid w:val="004A0D11"/>
    <w:rsid w:val="004A1A37"/>
    <w:rsid w:val="004A31DE"/>
    <w:rsid w:val="004A4480"/>
    <w:rsid w:val="004A44AD"/>
    <w:rsid w:val="004A4CFA"/>
    <w:rsid w:val="004A51E7"/>
    <w:rsid w:val="004A686B"/>
    <w:rsid w:val="004B108B"/>
    <w:rsid w:val="004B1934"/>
    <w:rsid w:val="004B1C0C"/>
    <w:rsid w:val="004B278B"/>
    <w:rsid w:val="004B427C"/>
    <w:rsid w:val="004B5327"/>
    <w:rsid w:val="004B5965"/>
    <w:rsid w:val="004B632D"/>
    <w:rsid w:val="004B71FD"/>
    <w:rsid w:val="004B73E2"/>
    <w:rsid w:val="004C05A5"/>
    <w:rsid w:val="004C0EE1"/>
    <w:rsid w:val="004C1334"/>
    <w:rsid w:val="004C2C83"/>
    <w:rsid w:val="004C50C5"/>
    <w:rsid w:val="004C56FD"/>
    <w:rsid w:val="004C5B07"/>
    <w:rsid w:val="004C6D66"/>
    <w:rsid w:val="004C7987"/>
    <w:rsid w:val="004C7D84"/>
    <w:rsid w:val="004D20FB"/>
    <w:rsid w:val="004D264E"/>
    <w:rsid w:val="004D2688"/>
    <w:rsid w:val="004D38E9"/>
    <w:rsid w:val="004D4226"/>
    <w:rsid w:val="004D49BE"/>
    <w:rsid w:val="004D4AEB"/>
    <w:rsid w:val="004D5D00"/>
    <w:rsid w:val="004D699C"/>
    <w:rsid w:val="004E0D73"/>
    <w:rsid w:val="004E2773"/>
    <w:rsid w:val="004E3881"/>
    <w:rsid w:val="004E5130"/>
    <w:rsid w:val="004E51CD"/>
    <w:rsid w:val="004E5CCE"/>
    <w:rsid w:val="004E7F5F"/>
    <w:rsid w:val="004F03B7"/>
    <w:rsid w:val="004F060D"/>
    <w:rsid w:val="004F1AD2"/>
    <w:rsid w:val="004F300D"/>
    <w:rsid w:val="004F3AFF"/>
    <w:rsid w:val="004F3E55"/>
    <w:rsid w:val="004F412C"/>
    <w:rsid w:val="004F5CCB"/>
    <w:rsid w:val="004F5D83"/>
    <w:rsid w:val="00500A26"/>
    <w:rsid w:val="005036E4"/>
    <w:rsid w:val="0050396C"/>
    <w:rsid w:val="0050593F"/>
    <w:rsid w:val="00506FBE"/>
    <w:rsid w:val="005108E6"/>
    <w:rsid w:val="00512E46"/>
    <w:rsid w:val="00514636"/>
    <w:rsid w:val="00514C98"/>
    <w:rsid w:val="00515AD8"/>
    <w:rsid w:val="005164B4"/>
    <w:rsid w:val="0051765E"/>
    <w:rsid w:val="00521C9D"/>
    <w:rsid w:val="00521DC6"/>
    <w:rsid w:val="00523684"/>
    <w:rsid w:val="005253AB"/>
    <w:rsid w:val="005258A1"/>
    <w:rsid w:val="0052619A"/>
    <w:rsid w:val="00527C6E"/>
    <w:rsid w:val="00533D2F"/>
    <w:rsid w:val="005346E4"/>
    <w:rsid w:val="005353FC"/>
    <w:rsid w:val="005400B7"/>
    <w:rsid w:val="00542918"/>
    <w:rsid w:val="005444BA"/>
    <w:rsid w:val="005461DB"/>
    <w:rsid w:val="005466CE"/>
    <w:rsid w:val="0054746A"/>
    <w:rsid w:val="00550339"/>
    <w:rsid w:val="00550BBB"/>
    <w:rsid w:val="00551835"/>
    <w:rsid w:val="00551FE2"/>
    <w:rsid w:val="00552C1C"/>
    <w:rsid w:val="00552CD7"/>
    <w:rsid w:val="00555505"/>
    <w:rsid w:val="00555A64"/>
    <w:rsid w:val="00555CF4"/>
    <w:rsid w:val="00562CC9"/>
    <w:rsid w:val="005639A9"/>
    <w:rsid w:val="00563E79"/>
    <w:rsid w:val="00563F3A"/>
    <w:rsid w:val="00565420"/>
    <w:rsid w:val="00565FDB"/>
    <w:rsid w:val="00567EE9"/>
    <w:rsid w:val="005717B0"/>
    <w:rsid w:val="00571CB3"/>
    <w:rsid w:val="005728B7"/>
    <w:rsid w:val="00573D02"/>
    <w:rsid w:val="00574807"/>
    <w:rsid w:val="00577DE1"/>
    <w:rsid w:val="00581AA3"/>
    <w:rsid w:val="005826B1"/>
    <w:rsid w:val="00584D3D"/>
    <w:rsid w:val="00590F03"/>
    <w:rsid w:val="00593E60"/>
    <w:rsid w:val="00594F39"/>
    <w:rsid w:val="005A004D"/>
    <w:rsid w:val="005A30A8"/>
    <w:rsid w:val="005A40A5"/>
    <w:rsid w:val="005A41AE"/>
    <w:rsid w:val="005B24EC"/>
    <w:rsid w:val="005B5C50"/>
    <w:rsid w:val="005B71B8"/>
    <w:rsid w:val="005B74C8"/>
    <w:rsid w:val="005B7862"/>
    <w:rsid w:val="005C030E"/>
    <w:rsid w:val="005C0860"/>
    <w:rsid w:val="005C14F8"/>
    <w:rsid w:val="005C6A94"/>
    <w:rsid w:val="005C6EBA"/>
    <w:rsid w:val="005D05CA"/>
    <w:rsid w:val="005D121F"/>
    <w:rsid w:val="005D301D"/>
    <w:rsid w:val="005D715E"/>
    <w:rsid w:val="005E134B"/>
    <w:rsid w:val="005E3D25"/>
    <w:rsid w:val="005E56AB"/>
    <w:rsid w:val="005E6E61"/>
    <w:rsid w:val="005E6FED"/>
    <w:rsid w:val="005E7E87"/>
    <w:rsid w:val="005F00DC"/>
    <w:rsid w:val="005F1BF4"/>
    <w:rsid w:val="005F4420"/>
    <w:rsid w:val="005F45B7"/>
    <w:rsid w:val="005F61D5"/>
    <w:rsid w:val="005F74A9"/>
    <w:rsid w:val="005F7CA2"/>
    <w:rsid w:val="00600650"/>
    <w:rsid w:val="0060190E"/>
    <w:rsid w:val="00601BFA"/>
    <w:rsid w:val="006077E0"/>
    <w:rsid w:val="00614DCE"/>
    <w:rsid w:val="0061500D"/>
    <w:rsid w:val="006153A6"/>
    <w:rsid w:val="0061552D"/>
    <w:rsid w:val="00615594"/>
    <w:rsid w:val="00615D4D"/>
    <w:rsid w:val="00615EDE"/>
    <w:rsid w:val="0062266B"/>
    <w:rsid w:val="00623827"/>
    <w:rsid w:val="00623E23"/>
    <w:rsid w:val="00624018"/>
    <w:rsid w:val="006271B2"/>
    <w:rsid w:val="00627CFA"/>
    <w:rsid w:val="006305F2"/>
    <w:rsid w:val="006308FF"/>
    <w:rsid w:val="006309A1"/>
    <w:rsid w:val="0063224D"/>
    <w:rsid w:val="00634E46"/>
    <w:rsid w:val="00634FE4"/>
    <w:rsid w:val="00635696"/>
    <w:rsid w:val="0063583D"/>
    <w:rsid w:val="006363B5"/>
    <w:rsid w:val="00640D54"/>
    <w:rsid w:val="006416A5"/>
    <w:rsid w:val="00644FB1"/>
    <w:rsid w:val="0064521A"/>
    <w:rsid w:val="00645BB3"/>
    <w:rsid w:val="00650318"/>
    <w:rsid w:val="00652D0A"/>
    <w:rsid w:val="00653434"/>
    <w:rsid w:val="006545F9"/>
    <w:rsid w:val="00654CA5"/>
    <w:rsid w:val="00654DE1"/>
    <w:rsid w:val="00655FBD"/>
    <w:rsid w:val="00656AAE"/>
    <w:rsid w:val="00661522"/>
    <w:rsid w:val="00663301"/>
    <w:rsid w:val="00665E1F"/>
    <w:rsid w:val="0066632A"/>
    <w:rsid w:val="00666492"/>
    <w:rsid w:val="006668CA"/>
    <w:rsid w:val="00666B38"/>
    <w:rsid w:val="00666E98"/>
    <w:rsid w:val="00666FC0"/>
    <w:rsid w:val="0066763C"/>
    <w:rsid w:val="00670EE8"/>
    <w:rsid w:val="00671E13"/>
    <w:rsid w:val="0067285E"/>
    <w:rsid w:val="00673A06"/>
    <w:rsid w:val="0067467F"/>
    <w:rsid w:val="00674C14"/>
    <w:rsid w:val="0067532A"/>
    <w:rsid w:val="00677451"/>
    <w:rsid w:val="00680BAA"/>
    <w:rsid w:val="0068144C"/>
    <w:rsid w:val="00683476"/>
    <w:rsid w:val="00684D4E"/>
    <w:rsid w:val="0068610E"/>
    <w:rsid w:val="00686A6A"/>
    <w:rsid w:val="0068714D"/>
    <w:rsid w:val="0069105E"/>
    <w:rsid w:val="006924BB"/>
    <w:rsid w:val="006967A6"/>
    <w:rsid w:val="006A1D0B"/>
    <w:rsid w:val="006A29BB"/>
    <w:rsid w:val="006A2B79"/>
    <w:rsid w:val="006A3466"/>
    <w:rsid w:val="006A396F"/>
    <w:rsid w:val="006A5A33"/>
    <w:rsid w:val="006A5E0A"/>
    <w:rsid w:val="006A5F91"/>
    <w:rsid w:val="006B0ABE"/>
    <w:rsid w:val="006B1FC3"/>
    <w:rsid w:val="006B26C0"/>
    <w:rsid w:val="006B2A5A"/>
    <w:rsid w:val="006B2FC7"/>
    <w:rsid w:val="006B3019"/>
    <w:rsid w:val="006B3F80"/>
    <w:rsid w:val="006B57F8"/>
    <w:rsid w:val="006B72AB"/>
    <w:rsid w:val="006B7CA9"/>
    <w:rsid w:val="006C0491"/>
    <w:rsid w:val="006C0D33"/>
    <w:rsid w:val="006C0D7A"/>
    <w:rsid w:val="006C1E09"/>
    <w:rsid w:val="006C1E6B"/>
    <w:rsid w:val="006C2A67"/>
    <w:rsid w:val="006C523D"/>
    <w:rsid w:val="006C5C44"/>
    <w:rsid w:val="006C629B"/>
    <w:rsid w:val="006C6399"/>
    <w:rsid w:val="006C7317"/>
    <w:rsid w:val="006C751E"/>
    <w:rsid w:val="006C7554"/>
    <w:rsid w:val="006C7C67"/>
    <w:rsid w:val="006C7E2F"/>
    <w:rsid w:val="006D2988"/>
    <w:rsid w:val="006D3DF5"/>
    <w:rsid w:val="006D4732"/>
    <w:rsid w:val="006D4ECB"/>
    <w:rsid w:val="006D5597"/>
    <w:rsid w:val="006D5A8E"/>
    <w:rsid w:val="006D5DB1"/>
    <w:rsid w:val="006D5EBA"/>
    <w:rsid w:val="006E0851"/>
    <w:rsid w:val="006E2B4E"/>
    <w:rsid w:val="006E2F48"/>
    <w:rsid w:val="006E5CA6"/>
    <w:rsid w:val="006E61F3"/>
    <w:rsid w:val="006E656A"/>
    <w:rsid w:val="006F25FA"/>
    <w:rsid w:val="006F2838"/>
    <w:rsid w:val="006F3A52"/>
    <w:rsid w:val="006F442E"/>
    <w:rsid w:val="006F4DDE"/>
    <w:rsid w:val="006F5528"/>
    <w:rsid w:val="006F7093"/>
    <w:rsid w:val="006F7A96"/>
    <w:rsid w:val="00700469"/>
    <w:rsid w:val="00700655"/>
    <w:rsid w:val="00700FB6"/>
    <w:rsid w:val="00702739"/>
    <w:rsid w:val="007037C5"/>
    <w:rsid w:val="00710462"/>
    <w:rsid w:val="00710995"/>
    <w:rsid w:val="00710C4D"/>
    <w:rsid w:val="00712E94"/>
    <w:rsid w:val="0071340E"/>
    <w:rsid w:val="0071493B"/>
    <w:rsid w:val="00715092"/>
    <w:rsid w:val="00715EAF"/>
    <w:rsid w:val="00715FA1"/>
    <w:rsid w:val="0071608E"/>
    <w:rsid w:val="00716330"/>
    <w:rsid w:val="00716B7C"/>
    <w:rsid w:val="00717C28"/>
    <w:rsid w:val="00717F04"/>
    <w:rsid w:val="00724AC8"/>
    <w:rsid w:val="00726BDB"/>
    <w:rsid w:val="00727BB0"/>
    <w:rsid w:val="007308AF"/>
    <w:rsid w:val="0073157F"/>
    <w:rsid w:val="00731B89"/>
    <w:rsid w:val="00731C16"/>
    <w:rsid w:val="00731F8A"/>
    <w:rsid w:val="007334FA"/>
    <w:rsid w:val="0073546E"/>
    <w:rsid w:val="0073705C"/>
    <w:rsid w:val="007401E9"/>
    <w:rsid w:val="007411B4"/>
    <w:rsid w:val="0074236C"/>
    <w:rsid w:val="00742702"/>
    <w:rsid w:val="00744B81"/>
    <w:rsid w:val="00744BF6"/>
    <w:rsid w:val="00745731"/>
    <w:rsid w:val="007474E7"/>
    <w:rsid w:val="0075041D"/>
    <w:rsid w:val="00752A31"/>
    <w:rsid w:val="00752F5E"/>
    <w:rsid w:val="007531F2"/>
    <w:rsid w:val="0075367B"/>
    <w:rsid w:val="007548BD"/>
    <w:rsid w:val="00754C71"/>
    <w:rsid w:val="007550B6"/>
    <w:rsid w:val="0075764B"/>
    <w:rsid w:val="0076074C"/>
    <w:rsid w:val="00760E48"/>
    <w:rsid w:val="00761437"/>
    <w:rsid w:val="0076172E"/>
    <w:rsid w:val="00761748"/>
    <w:rsid w:val="00761A10"/>
    <w:rsid w:val="00762DC1"/>
    <w:rsid w:val="00763E8F"/>
    <w:rsid w:val="007649DA"/>
    <w:rsid w:val="00764B0F"/>
    <w:rsid w:val="00765E8B"/>
    <w:rsid w:val="00767B59"/>
    <w:rsid w:val="007714A2"/>
    <w:rsid w:val="0077161E"/>
    <w:rsid w:val="00771A1B"/>
    <w:rsid w:val="0077215C"/>
    <w:rsid w:val="00773FCA"/>
    <w:rsid w:val="0077438C"/>
    <w:rsid w:val="00775C0C"/>
    <w:rsid w:val="00777130"/>
    <w:rsid w:val="007815F3"/>
    <w:rsid w:val="007831A8"/>
    <w:rsid w:val="0078503F"/>
    <w:rsid w:val="00785A07"/>
    <w:rsid w:val="00785AF9"/>
    <w:rsid w:val="0078772F"/>
    <w:rsid w:val="00791560"/>
    <w:rsid w:val="00791B99"/>
    <w:rsid w:val="00791C03"/>
    <w:rsid w:val="00792FC4"/>
    <w:rsid w:val="00794718"/>
    <w:rsid w:val="00794AEC"/>
    <w:rsid w:val="00795676"/>
    <w:rsid w:val="00795BB4"/>
    <w:rsid w:val="007976D3"/>
    <w:rsid w:val="007A10C9"/>
    <w:rsid w:val="007A2E0C"/>
    <w:rsid w:val="007A366A"/>
    <w:rsid w:val="007A45AD"/>
    <w:rsid w:val="007A6A07"/>
    <w:rsid w:val="007A6FA3"/>
    <w:rsid w:val="007A7735"/>
    <w:rsid w:val="007A7887"/>
    <w:rsid w:val="007A7F52"/>
    <w:rsid w:val="007B1160"/>
    <w:rsid w:val="007B352F"/>
    <w:rsid w:val="007B445D"/>
    <w:rsid w:val="007B5613"/>
    <w:rsid w:val="007B6494"/>
    <w:rsid w:val="007B65FD"/>
    <w:rsid w:val="007B6D85"/>
    <w:rsid w:val="007C01DD"/>
    <w:rsid w:val="007C02F7"/>
    <w:rsid w:val="007C0E9B"/>
    <w:rsid w:val="007C2AAA"/>
    <w:rsid w:val="007C4782"/>
    <w:rsid w:val="007C4D95"/>
    <w:rsid w:val="007C5723"/>
    <w:rsid w:val="007C6B01"/>
    <w:rsid w:val="007C6EBF"/>
    <w:rsid w:val="007C7C7B"/>
    <w:rsid w:val="007D0B62"/>
    <w:rsid w:val="007D2957"/>
    <w:rsid w:val="007D43A2"/>
    <w:rsid w:val="007D55CA"/>
    <w:rsid w:val="007D6E19"/>
    <w:rsid w:val="007E0748"/>
    <w:rsid w:val="007E0D54"/>
    <w:rsid w:val="007E1CD0"/>
    <w:rsid w:val="007E31D0"/>
    <w:rsid w:val="007E3DE5"/>
    <w:rsid w:val="007E4D58"/>
    <w:rsid w:val="007E54AB"/>
    <w:rsid w:val="007E7630"/>
    <w:rsid w:val="007E78E9"/>
    <w:rsid w:val="007F1E36"/>
    <w:rsid w:val="007F2350"/>
    <w:rsid w:val="007F25F6"/>
    <w:rsid w:val="007F2D65"/>
    <w:rsid w:val="007F4456"/>
    <w:rsid w:val="007F5975"/>
    <w:rsid w:val="007F6F6C"/>
    <w:rsid w:val="007F6F88"/>
    <w:rsid w:val="007F7A4B"/>
    <w:rsid w:val="0080292D"/>
    <w:rsid w:val="008045CE"/>
    <w:rsid w:val="0080517F"/>
    <w:rsid w:val="0080673B"/>
    <w:rsid w:val="00806F30"/>
    <w:rsid w:val="008079EC"/>
    <w:rsid w:val="008104E4"/>
    <w:rsid w:val="008106BC"/>
    <w:rsid w:val="00811805"/>
    <w:rsid w:val="008126DC"/>
    <w:rsid w:val="008134C7"/>
    <w:rsid w:val="008135CF"/>
    <w:rsid w:val="00815427"/>
    <w:rsid w:val="00815878"/>
    <w:rsid w:val="00815AC4"/>
    <w:rsid w:val="00816CFE"/>
    <w:rsid w:val="00822261"/>
    <w:rsid w:val="00822512"/>
    <w:rsid w:val="00825B3F"/>
    <w:rsid w:val="0082639D"/>
    <w:rsid w:val="00826547"/>
    <w:rsid w:val="0083114A"/>
    <w:rsid w:val="00831732"/>
    <w:rsid w:val="00831A05"/>
    <w:rsid w:val="00833B43"/>
    <w:rsid w:val="00834A4F"/>
    <w:rsid w:val="008356D6"/>
    <w:rsid w:val="00835B82"/>
    <w:rsid w:val="00835C9F"/>
    <w:rsid w:val="00835E97"/>
    <w:rsid w:val="008366BE"/>
    <w:rsid w:val="00837153"/>
    <w:rsid w:val="008375D8"/>
    <w:rsid w:val="0083777E"/>
    <w:rsid w:val="008405F1"/>
    <w:rsid w:val="0084207A"/>
    <w:rsid w:val="00842B00"/>
    <w:rsid w:val="00844228"/>
    <w:rsid w:val="008442EE"/>
    <w:rsid w:val="00845961"/>
    <w:rsid w:val="00845D67"/>
    <w:rsid w:val="00846590"/>
    <w:rsid w:val="00846D0C"/>
    <w:rsid w:val="00850E02"/>
    <w:rsid w:val="00852795"/>
    <w:rsid w:val="008548F9"/>
    <w:rsid w:val="00854AAF"/>
    <w:rsid w:val="00856D8A"/>
    <w:rsid w:val="00857062"/>
    <w:rsid w:val="008573E8"/>
    <w:rsid w:val="008605D8"/>
    <w:rsid w:val="00861219"/>
    <w:rsid w:val="00862334"/>
    <w:rsid w:val="00862B56"/>
    <w:rsid w:val="0086323C"/>
    <w:rsid w:val="00863DBD"/>
    <w:rsid w:val="00865144"/>
    <w:rsid w:val="0086558D"/>
    <w:rsid w:val="008672ED"/>
    <w:rsid w:val="0086771C"/>
    <w:rsid w:val="008707BA"/>
    <w:rsid w:val="00870F29"/>
    <w:rsid w:val="008710D8"/>
    <w:rsid w:val="008717CA"/>
    <w:rsid w:val="00871844"/>
    <w:rsid w:val="008725B9"/>
    <w:rsid w:val="00873D6D"/>
    <w:rsid w:val="008759C8"/>
    <w:rsid w:val="00876A65"/>
    <w:rsid w:val="008806EF"/>
    <w:rsid w:val="008807CF"/>
    <w:rsid w:val="00880DA4"/>
    <w:rsid w:val="00881B07"/>
    <w:rsid w:val="00881CAD"/>
    <w:rsid w:val="00882323"/>
    <w:rsid w:val="00883F87"/>
    <w:rsid w:val="00883FF9"/>
    <w:rsid w:val="0088415B"/>
    <w:rsid w:val="00885D5D"/>
    <w:rsid w:val="00885FB8"/>
    <w:rsid w:val="00885FD5"/>
    <w:rsid w:val="00887490"/>
    <w:rsid w:val="00887560"/>
    <w:rsid w:val="00890305"/>
    <w:rsid w:val="0089142F"/>
    <w:rsid w:val="0089254B"/>
    <w:rsid w:val="0089356B"/>
    <w:rsid w:val="0089400D"/>
    <w:rsid w:val="0089666B"/>
    <w:rsid w:val="00896AA7"/>
    <w:rsid w:val="0089777C"/>
    <w:rsid w:val="008A11B6"/>
    <w:rsid w:val="008A33CF"/>
    <w:rsid w:val="008A52A5"/>
    <w:rsid w:val="008A73D1"/>
    <w:rsid w:val="008B0F86"/>
    <w:rsid w:val="008B1370"/>
    <w:rsid w:val="008B3878"/>
    <w:rsid w:val="008B6391"/>
    <w:rsid w:val="008B70CE"/>
    <w:rsid w:val="008B7320"/>
    <w:rsid w:val="008C09C9"/>
    <w:rsid w:val="008C09DE"/>
    <w:rsid w:val="008C14D5"/>
    <w:rsid w:val="008C1D4C"/>
    <w:rsid w:val="008C29EA"/>
    <w:rsid w:val="008C3137"/>
    <w:rsid w:val="008C32EC"/>
    <w:rsid w:val="008C3721"/>
    <w:rsid w:val="008C5275"/>
    <w:rsid w:val="008C5C27"/>
    <w:rsid w:val="008C5D59"/>
    <w:rsid w:val="008C65DF"/>
    <w:rsid w:val="008D066F"/>
    <w:rsid w:val="008D19A8"/>
    <w:rsid w:val="008D3784"/>
    <w:rsid w:val="008D3B12"/>
    <w:rsid w:val="008D4CBE"/>
    <w:rsid w:val="008D537F"/>
    <w:rsid w:val="008D55E9"/>
    <w:rsid w:val="008D5850"/>
    <w:rsid w:val="008D7EA9"/>
    <w:rsid w:val="008E0AEB"/>
    <w:rsid w:val="008E1206"/>
    <w:rsid w:val="008E1D53"/>
    <w:rsid w:val="008E2E3A"/>
    <w:rsid w:val="008E5247"/>
    <w:rsid w:val="008E549F"/>
    <w:rsid w:val="008E6408"/>
    <w:rsid w:val="008E6AEB"/>
    <w:rsid w:val="008F0241"/>
    <w:rsid w:val="008F1C55"/>
    <w:rsid w:val="008F39AB"/>
    <w:rsid w:val="008F3BC2"/>
    <w:rsid w:val="008F5C62"/>
    <w:rsid w:val="008F5EFA"/>
    <w:rsid w:val="008F64D3"/>
    <w:rsid w:val="008F652C"/>
    <w:rsid w:val="00902B50"/>
    <w:rsid w:val="00907A73"/>
    <w:rsid w:val="00907BCA"/>
    <w:rsid w:val="00907C5E"/>
    <w:rsid w:val="00911211"/>
    <w:rsid w:val="0091154D"/>
    <w:rsid w:val="009120E3"/>
    <w:rsid w:val="00917B52"/>
    <w:rsid w:val="009208A4"/>
    <w:rsid w:val="00921585"/>
    <w:rsid w:val="00922F2D"/>
    <w:rsid w:val="00923A05"/>
    <w:rsid w:val="0092436F"/>
    <w:rsid w:val="009258C6"/>
    <w:rsid w:val="0093009E"/>
    <w:rsid w:val="009311CF"/>
    <w:rsid w:val="00931C01"/>
    <w:rsid w:val="00933461"/>
    <w:rsid w:val="009341FF"/>
    <w:rsid w:val="00934616"/>
    <w:rsid w:val="0093615A"/>
    <w:rsid w:val="00936C27"/>
    <w:rsid w:val="009372A6"/>
    <w:rsid w:val="0093737C"/>
    <w:rsid w:val="00937434"/>
    <w:rsid w:val="00937A1F"/>
    <w:rsid w:val="00937D10"/>
    <w:rsid w:val="009401D2"/>
    <w:rsid w:val="0094052A"/>
    <w:rsid w:val="0094144B"/>
    <w:rsid w:val="00942118"/>
    <w:rsid w:val="00944E56"/>
    <w:rsid w:val="00945A08"/>
    <w:rsid w:val="00945E89"/>
    <w:rsid w:val="00946408"/>
    <w:rsid w:val="00947DD7"/>
    <w:rsid w:val="00950424"/>
    <w:rsid w:val="00950E6D"/>
    <w:rsid w:val="0095111B"/>
    <w:rsid w:val="00953C3A"/>
    <w:rsid w:val="0096152B"/>
    <w:rsid w:val="0096187C"/>
    <w:rsid w:val="00963839"/>
    <w:rsid w:val="0096394E"/>
    <w:rsid w:val="0096585E"/>
    <w:rsid w:val="00965DE3"/>
    <w:rsid w:val="00966783"/>
    <w:rsid w:val="009700C0"/>
    <w:rsid w:val="009707ED"/>
    <w:rsid w:val="00973834"/>
    <w:rsid w:val="00974ED7"/>
    <w:rsid w:val="00974FCC"/>
    <w:rsid w:val="009752F6"/>
    <w:rsid w:val="00976AE4"/>
    <w:rsid w:val="00977382"/>
    <w:rsid w:val="00980C31"/>
    <w:rsid w:val="00980F7A"/>
    <w:rsid w:val="00981656"/>
    <w:rsid w:val="009820CC"/>
    <w:rsid w:val="0098456C"/>
    <w:rsid w:val="009851C8"/>
    <w:rsid w:val="00985868"/>
    <w:rsid w:val="00986A0A"/>
    <w:rsid w:val="00986D19"/>
    <w:rsid w:val="00987C04"/>
    <w:rsid w:val="009905B8"/>
    <w:rsid w:val="00990922"/>
    <w:rsid w:val="009919B3"/>
    <w:rsid w:val="00992521"/>
    <w:rsid w:val="00993217"/>
    <w:rsid w:val="00993ACA"/>
    <w:rsid w:val="0099567D"/>
    <w:rsid w:val="00996EE7"/>
    <w:rsid w:val="00997897"/>
    <w:rsid w:val="009A01FE"/>
    <w:rsid w:val="009A0E20"/>
    <w:rsid w:val="009A15DB"/>
    <w:rsid w:val="009A406E"/>
    <w:rsid w:val="009B20A2"/>
    <w:rsid w:val="009B45C5"/>
    <w:rsid w:val="009B6FD1"/>
    <w:rsid w:val="009B7A9E"/>
    <w:rsid w:val="009B7CEB"/>
    <w:rsid w:val="009C2D0F"/>
    <w:rsid w:val="009C2E13"/>
    <w:rsid w:val="009C40E7"/>
    <w:rsid w:val="009C4955"/>
    <w:rsid w:val="009C4C56"/>
    <w:rsid w:val="009C5184"/>
    <w:rsid w:val="009C529E"/>
    <w:rsid w:val="009C6BD3"/>
    <w:rsid w:val="009D1097"/>
    <w:rsid w:val="009D23CA"/>
    <w:rsid w:val="009D3603"/>
    <w:rsid w:val="009D5F99"/>
    <w:rsid w:val="009D6A2A"/>
    <w:rsid w:val="009D6F68"/>
    <w:rsid w:val="009E03F4"/>
    <w:rsid w:val="009E0829"/>
    <w:rsid w:val="009E1675"/>
    <w:rsid w:val="009E3286"/>
    <w:rsid w:val="009E3687"/>
    <w:rsid w:val="009E6726"/>
    <w:rsid w:val="009E6CDA"/>
    <w:rsid w:val="009E7600"/>
    <w:rsid w:val="009E7C2B"/>
    <w:rsid w:val="009F037B"/>
    <w:rsid w:val="009F1AD7"/>
    <w:rsid w:val="009F2A3D"/>
    <w:rsid w:val="009F3641"/>
    <w:rsid w:val="009F4D0E"/>
    <w:rsid w:val="009F75F4"/>
    <w:rsid w:val="00A022B9"/>
    <w:rsid w:val="00A033D3"/>
    <w:rsid w:val="00A03584"/>
    <w:rsid w:val="00A035D6"/>
    <w:rsid w:val="00A03FCF"/>
    <w:rsid w:val="00A0430E"/>
    <w:rsid w:val="00A06143"/>
    <w:rsid w:val="00A068CA"/>
    <w:rsid w:val="00A10B6B"/>
    <w:rsid w:val="00A1198D"/>
    <w:rsid w:val="00A11AE3"/>
    <w:rsid w:val="00A11D4D"/>
    <w:rsid w:val="00A11E41"/>
    <w:rsid w:val="00A13C0F"/>
    <w:rsid w:val="00A14654"/>
    <w:rsid w:val="00A157B0"/>
    <w:rsid w:val="00A1602D"/>
    <w:rsid w:val="00A233BA"/>
    <w:rsid w:val="00A23624"/>
    <w:rsid w:val="00A2367D"/>
    <w:rsid w:val="00A24C8D"/>
    <w:rsid w:val="00A26591"/>
    <w:rsid w:val="00A27A28"/>
    <w:rsid w:val="00A317EE"/>
    <w:rsid w:val="00A33BCC"/>
    <w:rsid w:val="00A3671D"/>
    <w:rsid w:val="00A36DF4"/>
    <w:rsid w:val="00A40A83"/>
    <w:rsid w:val="00A42C88"/>
    <w:rsid w:val="00A42CB2"/>
    <w:rsid w:val="00A4398A"/>
    <w:rsid w:val="00A43E62"/>
    <w:rsid w:val="00A46104"/>
    <w:rsid w:val="00A47B58"/>
    <w:rsid w:val="00A501C6"/>
    <w:rsid w:val="00A50DF6"/>
    <w:rsid w:val="00A51020"/>
    <w:rsid w:val="00A51740"/>
    <w:rsid w:val="00A52241"/>
    <w:rsid w:val="00A52452"/>
    <w:rsid w:val="00A529FF"/>
    <w:rsid w:val="00A53D1A"/>
    <w:rsid w:val="00A551EF"/>
    <w:rsid w:val="00A55AA2"/>
    <w:rsid w:val="00A60475"/>
    <w:rsid w:val="00A609E4"/>
    <w:rsid w:val="00A61AD3"/>
    <w:rsid w:val="00A61C10"/>
    <w:rsid w:val="00A6220F"/>
    <w:rsid w:val="00A664C2"/>
    <w:rsid w:val="00A665C9"/>
    <w:rsid w:val="00A6751A"/>
    <w:rsid w:val="00A70C08"/>
    <w:rsid w:val="00A71677"/>
    <w:rsid w:val="00A7207D"/>
    <w:rsid w:val="00A7329A"/>
    <w:rsid w:val="00A73489"/>
    <w:rsid w:val="00A743CB"/>
    <w:rsid w:val="00A752FD"/>
    <w:rsid w:val="00A75A34"/>
    <w:rsid w:val="00A76AE2"/>
    <w:rsid w:val="00A76F79"/>
    <w:rsid w:val="00A77CAB"/>
    <w:rsid w:val="00A8086D"/>
    <w:rsid w:val="00A82BD2"/>
    <w:rsid w:val="00A83E3B"/>
    <w:rsid w:val="00A842A2"/>
    <w:rsid w:val="00A85559"/>
    <w:rsid w:val="00A85C6E"/>
    <w:rsid w:val="00A85EE4"/>
    <w:rsid w:val="00A86CDD"/>
    <w:rsid w:val="00A86D26"/>
    <w:rsid w:val="00A86DB2"/>
    <w:rsid w:val="00A9021C"/>
    <w:rsid w:val="00A90233"/>
    <w:rsid w:val="00A92540"/>
    <w:rsid w:val="00A94040"/>
    <w:rsid w:val="00A96312"/>
    <w:rsid w:val="00A97848"/>
    <w:rsid w:val="00AA0B60"/>
    <w:rsid w:val="00AA0DAB"/>
    <w:rsid w:val="00AA2DB4"/>
    <w:rsid w:val="00AA5A2C"/>
    <w:rsid w:val="00AA6A2B"/>
    <w:rsid w:val="00AA7B4F"/>
    <w:rsid w:val="00AA7F44"/>
    <w:rsid w:val="00AB09D7"/>
    <w:rsid w:val="00AB0A1C"/>
    <w:rsid w:val="00AB1477"/>
    <w:rsid w:val="00AB224E"/>
    <w:rsid w:val="00AB37CE"/>
    <w:rsid w:val="00AB48A6"/>
    <w:rsid w:val="00AB5A0A"/>
    <w:rsid w:val="00AB66EB"/>
    <w:rsid w:val="00AB6C45"/>
    <w:rsid w:val="00AC07FE"/>
    <w:rsid w:val="00AC1F93"/>
    <w:rsid w:val="00AC322D"/>
    <w:rsid w:val="00AC631C"/>
    <w:rsid w:val="00AC70B3"/>
    <w:rsid w:val="00AD0587"/>
    <w:rsid w:val="00AD06B5"/>
    <w:rsid w:val="00AD43BB"/>
    <w:rsid w:val="00AD4D33"/>
    <w:rsid w:val="00AD552E"/>
    <w:rsid w:val="00AD6250"/>
    <w:rsid w:val="00AD7439"/>
    <w:rsid w:val="00AE22BF"/>
    <w:rsid w:val="00AE3F6F"/>
    <w:rsid w:val="00AE426B"/>
    <w:rsid w:val="00AE5672"/>
    <w:rsid w:val="00AE5AF4"/>
    <w:rsid w:val="00AE6525"/>
    <w:rsid w:val="00AE672F"/>
    <w:rsid w:val="00AE7615"/>
    <w:rsid w:val="00AE7BA1"/>
    <w:rsid w:val="00AF39E7"/>
    <w:rsid w:val="00AF6390"/>
    <w:rsid w:val="00AF782C"/>
    <w:rsid w:val="00AF7DA4"/>
    <w:rsid w:val="00B0086A"/>
    <w:rsid w:val="00B01540"/>
    <w:rsid w:val="00B01D6C"/>
    <w:rsid w:val="00B02118"/>
    <w:rsid w:val="00B02A5B"/>
    <w:rsid w:val="00B02F1E"/>
    <w:rsid w:val="00B0319F"/>
    <w:rsid w:val="00B03555"/>
    <w:rsid w:val="00B0500E"/>
    <w:rsid w:val="00B05F70"/>
    <w:rsid w:val="00B07F7A"/>
    <w:rsid w:val="00B11390"/>
    <w:rsid w:val="00B118BF"/>
    <w:rsid w:val="00B12928"/>
    <w:rsid w:val="00B12D17"/>
    <w:rsid w:val="00B13012"/>
    <w:rsid w:val="00B151D3"/>
    <w:rsid w:val="00B17A25"/>
    <w:rsid w:val="00B2033D"/>
    <w:rsid w:val="00B21A02"/>
    <w:rsid w:val="00B2388A"/>
    <w:rsid w:val="00B27897"/>
    <w:rsid w:val="00B27CA6"/>
    <w:rsid w:val="00B27E1F"/>
    <w:rsid w:val="00B311E3"/>
    <w:rsid w:val="00B314B7"/>
    <w:rsid w:val="00B32144"/>
    <w:rsid w:val="00B35016"/>
    <w:rsid w:val="00B36A28"/>
    <w:rsid w:val="00B37045"/>
    <w:rsid w:val="00B377C9"/>
    <w:rsid w:val="00B377FE"/>
    <w:rsid w:val="00B4070E"/>
    <w:rsid w:val="00B40AF3"/>
    <w:rsid w:val="00B42104"/>
    <w:rsid w:val="00B444D1"/>
    <w:rsid w:val="00B455CF"/>
    <w:rsid w:val="00B45D64"/>
    <w:rsid w:val="00B46675"/>
    <w:rsid w:val="00B504FB"/>
    <w:rsid w:val="00B526E6"/>
    <w:rsid w:val="00B52EB5"/>
    <w:rsid w:val="00B55114"/>
    <w:rsid w:val="00B55C43"/>
    <w:rsid w:val="00B572DD"/>
    <w:rsid w:val="00B602E8"/>
    <w:rsid w:val="00B60E96"/>
    <w:rsid w:val="00B625E5"/>
    <w:rsid w:val="00B62C2B"/>
    <w:rsid w:val="00B62CBB"/>
    <w:rsid w:val="00B63959"/>
    <w:rsid w:val="00B63CF2"/>
    <w:rsid w:val="00B64C54"/>
    <w:rsid w:val="00B6589E"/>
    <w:rsid w:val="00B660A3"/>
    <w:rsid w:val="00B672F5"/>
    <w:rsid w:val="00B70B55"/>
    <w:rsid w:val="00B71258"/>
    <w:rsid w:val="00B71F14"/>
    <w:rsid w:val="00B7203C"/>
    <w:rsid w:val="00B7616A"/>
    <w:rsid w:val="00B76986"/>
    <w:rsid w:val="00B7710F"/>
    <w:rsid w:val="00B808EE"/>
    <w:rsid w:val="00B80DE8"/>
    <w:rsid w:val="00B8346E"/>
    <w:rsid w:val="00B84206"/>
    <w:rsid w:val="00B84EDE"/>
    <w:rsid w:val="00B868AA"/>
    <w:rsid w:val="00B87C90"/>
    <w:rsid w:val="00B87E0A"/>
    <w:rsid w:val="00B90C66"/>
    <w:rsid w:val="00B9120F"/>
    <w:rsid w:val="00B913A3"/>
    <w:rsid w:val="00B94651"/>
    <w:rsid w:val="00B9680D"/>
    <w:rsid w:val="00BA0C76"/>
    <w:rsid w:val="00BA10C7"/>
    <w:rsid w:val="00BA13DE"/>
    <w:rsid w:val="00BA2BB7"/>
    <w:rsid w:val="00BA3D48"/>
    <w:rsid w:val="00BA4C6C"/>
    <w:rsid w:val="00BA63A6"/>
    <w:rsid w:val="00BA69D0"/>
    <w:rsid w:val="00BB0C9A"/>
    <w:rsid w:val="00BB1AB0"/>
    <w:rsid w:val="00BB29E0"/>
    <w:rsid w:val="00BB49F1"/>
    <w:rsid w:val="00BB5267"/>
    <w:rsid w:val="00BB58D1"/>
    <w:rsid w:val="00BC2305"/>
    <w:rsid w:val="00BC2AD0"/>
    <w:rsid w:val="00BC338C"/>
    <w:rsid w:val="00BC4C9D"/>
    <w:rsid w:val="00BC5718"/>
    <w:rsid w:val="00BD0F97"/>
    <w:rsid w:val="00BD12CC"/>
    <w:rsid w:val="00BD13EE"/>
    <w:rsid w:val="00BD3300"/>
    <w:rsid w:val="00BD3930"/>
    <w:rsid w:val="00BD5706"/>
    <w:rsid w:val="00BD62ED"/>
    <w:rsid w:val="00BD654D"/>
    <w:rsid w:val="00BD7004"/>
    <w:rsid w:val="00BE22FE"/>
    <w:rsid w:val="00BE3686"/>
    <w:rsid w:val="00BE4404"/>
    <w:rsid w:val="00BE49AB"/>
    <w:rsid w:val="00BE5D86"/>
    <w:rsid w:val="00BE65CB"/>
    <w:rsid w:val="00BE74D0"/>
    <w:rsid w:val="00BF07B7"/>
    <w:rsid w:val="00BF0EE2"/>
    <w:rsid w:val="00BF11D8"/>
    <w:rsid w:val="00BF1DDC"/>
    <w:rsid w:val="00BF3719"/>
    <w:rsid w:val="00BF3D47"/>
    <w:rsid w:val="00BF5F01"/>
    <w:rsid w:val="00BF7472"/>
    <w:rsid w:val="00C0029A"/>
    <w:rsid w:val="00C0098D"/>
    <w:rsid w:val="00C00E76"/>
    <w:rsid w:val="00C02689"/>
    <w:rsid w:val="00C02B5C"/>
    <w:rsid w:val="00C03666"/>
    <w:rsid w:val="00C047E9"/>
    <w:rsid w:val="00C06CC5"/>
    <w:rsid w:val="00C076EA"/>
    <w:rsid w:val="00C10307"/>
    <w:rsid w:val="00C10F89"/>
    <w:rsid w:val="00C11EA4"/>
    <w:rsid w:val="00C13293"/>
    <w:rsid w:val="00C13DB4"/>
    <w:rsid w:val="00C157C4"/>
    <w:rsid w:val="00C163C2"/>
    <w:rsid w:val="00C16F2F"/>
    <w:rsid w:val="00C20DBB"/>
    <w:rsid w:val="00C21040"/>
    <w:rsid w:val="00C22247"/>
    <w:rsid w:val="00C2292D"/>
    <w:rsid w:val="00C23A91"/>
    <w:rsid w:val="00C23AAD"/>
    <w:rsid w:val="00C24C84"/>
    <w:rsid w:val="00C2574B"/>
    <w:rsid w:val="00C2687B"/>
    <w:rsid w:val="00C30F00"/>
    <w:rsid w:val="00C3114D"/>
    <w:rsid w:val="00C333C6"/>
    <w:rsid w:val="00C3479B"/>
    <w:rsid w:val="00C35919"/>
    <w:rsid w:val="00C36B76"/>
    <w:rsid w:val="00C36D52"/>
    <w:rsid w:val="00C37649"/>
    <w:rsid w:val="00C42C57"/>
    <w:rsid w:val="00C445D9"/>
    <w:rsid w:val="00C44FEC"/>
    <w:rsid w:val="00C50008"/>
    <w:rsid w:val="00C50775"/>
    <w:rsid w:val="00C50A01"/>
    <w:rsid w:val="00C516E1"/>
    <w:rsid w:val="00C5286A"/>
    <w:rsid w:val="00C53215"/>
    <w:rsid w:val="00C538CA"/>
    <w:rsid w:val="00C53949"/>
    <w:rsid w:val="00C53ACA"/>
    <w:rsid w:val="00C5445F"/>
    <w:rsid w:val="00C5454C"/>
    <w:rsid w:val="00C57690"/>
    <w:rsid w:val="00C57AF9"/>
    <w:rsid w:val="00C61ED2"/>
    <w:rsid w:val="00C629CF"/>
    <w:rsid w:val="00C63C47"/>
    <w:rsid w:val="00C63D44"/>
    <w:rsid w:val="00C66389"/>
    <w:rsid w:val="00C71D87"/>
    <w:rsid w:val="00C73AEA"/>
    <w:rsid w:val="00C77174"/>
    <w:rsid w:val="00C773AA"/>
    <w:rsid w:val="00C80C18"/>
    <w:rsid w:val="00C81485"/>
    <w:rsid w:val="00C81975"/>
    <w:rsid w:val="00C81A59"/>
    <w:rsid w:val="00C83802"/>
    <w:rsid w:val="00C846F1"/>
    <w:rsid w:val="00C848E0"/>
    <w:rsid w:val="00C851A6"/>
    <w:rsid w:val="00C8591E"/>
    <w:rsid w:val="00C8795B"/>
    <w:rsid w:val="00C911B1"/>
    <w:rsid w:val="00C91FFA"/>
    <w:rsid w:val="00C92027"/>
    <w:rsid w:val="00C923ED"/>
    <w:rsid w:val="00C94173"/>
    <w:rsid w:val="00C94215"/>
    <w:rsid w:val="00C95ED8"/>
    <w:rsid w:val="00C96D61"/>
    <w:rsid w:val="00CA03D1"/>
    <w:rsid w:val="00CA1289"/>
    <w:rsid w:val="00CA287B"/>
    <w:rsid w:val="00CA6650"/>
    <w:rsid w:val="00CA7418"/>
    <w:rsid w:val="00CB054F"/>
    <w:rsid w:val="00CB0835"/>
    <w:rsid w:val="00CB09F2"/>
    <w:rsid w:val="00CB1914"/>
    <w:rsid w:val="00CB24A1"/>
    <w:rsid w:val="00CB276B"/>
    <w:rsid w:val="00CB5DEF"/>
    <w:rsid w:val="00CB660A"/>
    <w:rsid w:val="00CB7C18"/>
    <w:rsid w:val="00CB7C2F"/>
    <w:rsid w:val="00CC0E9B"/>
    <w:rsid w:val="00CC2025"/>
    <w:rsid w:val="00CC345F"/>
    <w:rsid w:val="00CC5FC4"/>
    <w:rsid w:val="00CC6666"/>
    <w:rsid w:val="00CC6C0D"/>
    <w:rsid w:val="00CC7F66"/>
    <w:rsid w:val="00CD0335"/>
    <w:rsid w:val="00CD07E7"/>
    <w:rsid w:val="00CD2453"/>
    <w:rsid w:val="00CD2F13"/>
    <w:rsid w:val="00CD51D7"/>
    <w:rsid w:val="00CD6BFF"/>
    <w:rsid w:val="00CD7837"/>
    <w:rsid w:val="00CE0D99"/>
    <w:rsid w:val="00CE1CFD"/>
    <w:rsid w:val="00CE461B"/>
    <w:rsid w:val="00CE5A80"/>
    <w:rsid w:val="00CE5E3D"/>
    <w:rsid w:val="00CE6EB8"/>
    <w:rsid w:val="00CE7EA8"/>
    <w:rsid w:val="00CF24D5"/>
    <w:rsid w:val="00CF2FD1"/>
    <w:rsid w:val="00CF34C7"/>
    <w:rsid w:val="00CF39E9"/>
    <w:rsid w:val="00CF3AF9"/>
    <w:rsid w:val="00CF44FB"/>
    <w:rsid w:val="00CF4EF1"/>
    <w:rsid w:val="00CF5613"/>
    <w:rsid w:val="00CF6873"/>
    <w:rsid w:val="00CF6DBC"/>
    <w:rsid w:val="00D0014E"/>
    <w:rsid w:val="00D028FC"/>
    <w:rsid w:val="00D02CE5"/>
    <w:rsid w:val="00D0479F"/>
    <w:rsid w:val="00D04E75"/>
    <w:rsid w:val="00D0535C"/>
    <w:rsid w:val="00D05C54"/>
    <w:rsid w:val="00D07575"/>
    <w:rsid w:val="00D10329"/>
    <w:rsid w:val="00D11776"/>
    <w:rsid w:val="00D11B2A"/>
    <w:rsid w:val="00D11F72"/>
    <w:rsid w:val="00D12BD6"/>
    <w:rsid w:val="00D134E7"/>
    <w:rsid w:val="00D14316"/>
    <w:rsid w:val="00D15996"/>
    <w:rsid w:val="00D20211"/>
    <w:rsid w:val="00D20CC2"/>
    <w:rsid w:val="00D235D4"/>
    <w:rsid w:val="00D25F1D"/>
    <w:rsid w:val="00D27688"/>
    <w:rsid w:val="00D30433"/>
    <w:rsid w:val="00D31E36"/>
    <w:rsid w:val="00D334D4"/>
    <w:rsid w:val="00D35B82"/>
    <w:rsid w:val="00D366E9"/>
    <w:rsid w:val="00D373C0"/>
    <w:rsid w:val="00D37402"/>
    <w:rsid w:val="00D40608"/>
    <w:rsid w:val="00D41A4C"/>
    <w:rsid w:val="00D41A6F"/>
    <w:rsid w:val="00D42B3B"/>
    <w:rsid w:val="00D43801"/>
    <w:rsid w:val="00D44F7C"/>
    <w:rsid w:val="00D45410"/>
    <w:rsid w:val="00D477B3"/>
    <w:rsid w:val="00D47B29"/>
    <w:rsid w:val="00D51531"/>
    <w:rsid w:val="00D5295F"/>
    <w:rsid w:val="00D52BD0"/>
    <w:rsid w:val="00D52FB6"/>
    <w:rsid w:val="00D53F2B"/>
    <w:rsid w:val="00D54EA3"/>
    <w:rsid w:val="00D56265"/>
    <w:rsid w:val="00D57236"/>
    <w:rsid w:val="00D60141"/>
    <w:rsid w:val="00D60B77"/>
    <w:rsid w:val="00D60F5B"/>
    <w:rsid w:val="00D62206"/>
    <w:rsid w:val="00D6288B"/>
    <w:rsid w:val="00D642B7"/>
    <w:rsid w:val="00D64822"/>
    <w:rsid w:val="00D6730D"/>
    <w:rsid w:val="00D678E2"/>
    <w:rsid w:val="00D70776"/>
    <w:rsid w:val="00D70EA1"/>
    <w:rsid w:val="00D70F7D"/>
    <w:rsid w:val="00D71721"/>
    <w:rsid w:val="00D719AA"/>
    <w:rsid w:val="00D72F7E"/>
    <w:rsid w:val="00D8059E"/>
    <w:rsid w:val="00D80DD9"/>
    <w:rsid w:val="00D81AFB"/>
    <w:rsid w:val="00D83DC2"/>
    <w:rsid w:val="00D84088"/>
    <w:rsid w:val="00D84719"/>
    <w:rsid w:val="00D906A9"/>
    <w:rsid w:val="00D91AC3"/>
    <w:rsid w:val="00D920A0"/>
    <w:rsid w:val="00D922F7"/>
    <w:rsid w:val="00D93AE2"/>
    <w:rsid w:val="00D94EB4"/>
    <w:rsid w:val="00D96997"/>
    <w:rsid w:val="00D96BB2"/>
    <w:rsid w:val="00DA1250"/>
    <w:rsid w:val="00DA3940"/>
    <w:rsid w:val="00DA4F12"/>
    <w:rsid w:val="00DA60B1"/>
    <w:rsid w:val="00DA61C4"/>
    <w:rsid w:val="00DA797F"/>
    <w:rsid w:val="00DA7C77"/>
    <w:rsid w:val="00DB15B6"/>
    <w:rsid w:val="00DB48BD"/>
    <w:rsid w:val="00DB5231"/>
    <w:rsid w:val="00DB57FD"/>
    <w:rsid w:val="00DB667E"/>
    <w:rsid w:val="00DC15CE"/>
    <w:rsid w:val="00DC34C8"/>
    <w:rsid w:val="00DC4252"/>
    <w:rsid w:val="00DC4E33"/>
    <w:rsid w:val="00DD0732"/>
    <w:rsid w:val="00DD0FE1"/>
    <w:rsid w:val="00DD1C05"/>
    <w:rsid w:val="00DD5281"/>
    <w:rsid w:val="00DD5E1D"/>
    <w:rsid w:val="00DD6295"/>
    <w:rsid w:val="00DD6E4B"/>
    <w:rsid w:val="00DD72CD"/>
    <w:rsid w:val="00DD7627"/>
    <w:rsid w:val="00DE14B6"/>
    <w:rsid w:val="00DE31C0"/>
    <w:rsid w:val="00DE5BD3"/>
    <w:rsid w:val="00DE5E61"/>
    <w:rsid w:val="00DE7AB2"/>
    <w:rsid w:val="00DF176A"/>
    <w:rsid w:val="00DF2F07"/>
    <w:rsid w:val="00DF5403"/>
    <w:rsid w:val="00DF5748"/>
    <w:rsid w:val="00DF6819"/>
    <w:rsid w:val="00DF739C"/>
    <w:rsid w:val="00DF7C7E"/>
    <w:rsid w:val="00E00244"/>
    <w:rsid w:val="00E00662"/>
    <w:rsid w:val="00E02094"/>
    <w:rsid w:val="00E02906"/>
    <w:rsid w:val="00E031E3"/>
    <w:rsid w:val="00E03581"/>
    <w:rsid w:val="00E041E7"/>
    <w:rsid w:val="00E05018"/>
    <w:rsid w:val="00E058A3"/>
    <w:rsid w:val="00E05FA4"/>
    <w:rsid w:val="00E06F95"/>
    <w:rsid w:val="00E0732D"/>
    <w:rsid w:val="00E077CD"/>
    <w:rsid w:val="00E07B1B"/>
    <w:rsid w:val="00E109CC"/>
    <w:rsid w:val="00E112BE"/>
    <w:rsid w:val="00E12132"/>
    <w:rsid w:val="00E12CAB"/>
    <w:rsid w:val="00E146E2"/>
    <w:rsid w:val="00E14929"/>
    <w:rsid w:val="00E15D4C"/>
    <w:rsid w:val="00E16330"/>
    <w:rsid w:val="00E1764B"/>
    <w:rsid w:val="00E17BEF"/>
    <w:rsid w:val="00E23D24"/>
    <w:rsid w:val="00E2419B"/>
    <w:rsid w:val="00E241FC"/>
    <w:rsid w:val="00E24AC1"/>
    <w:rsid w:val="00E27480"/>
    <w:rsid w:val="00E277A0"/>
    <w:rsid w:val="00E32CD8"/>
    <w:rsid w:val="00E34175"/>
    <w:rsid w:val="00E345C1"/>
    <w:rsid w:val="00E370A3"/>
    <w:rsid w:val="00E3738F"/>
    <w:rsid w:val="00E37718"/>
    <w:rsid w:val="00E4055B"/>
    <w:rsid w:val="00E40915"/>
    <w:rsid w:val="00E41023"/>
    <w:rsid w:val="00E41537"/>
    <w:rsid w:val="00E451F2"/>
    <w:rsid w:val="00E46949"/>
    <w:rsid w:val="00E52317"/>
    <w:rsid w:val="00E5377A"/>
    <w:rsid w:val="00E561DE"/>
    <w:rsid w:val="00E56267"/>
    <w:rsid w:val="00E56471"/>
    <w:rsid w:val="00E57D1A"/>
    <w:rsid w:val="00E60803"/>
    <w:rsid w:val="00E62300"/>
    <w:rsid w:val="00E64674"/>
    <w:rsid w:val="00E65385"/>
    <w:rsid w:val="00E66611"/>
    <w:rsid w:val="00E66E12"/>
    <w:rsid w:val="00E70B1D"/>
    <w:rsid w:val="00E70F34"/>
    <w:rsid w:val="00E71EB4"/>
    <w:rsid w:val="00E72F35"/>
    <w:rsid w:val="00E73BC7"/>
    <w:rsid w:val="00E7432B"/>
    <w:rsid w:val="00E7458C"/>
    <w:rsid w:val="00E75747"/>
    <w:rsid w:val="00E766E2"/>
    <w:rsid w:val="00E769E0"/>
    <w:rsid w:val="00E77DD3"/>
    <w:rsid w:val="00E80798"/>
    <w:rsid w:val="00E82473"/>
    <w:rsid w:val="00E82EF6"/>
    <w:rsid w:val="00E8304A"/>
    <w:rsid w:val="00E8404F"/>
    <w:rsid w:val="00E85694"/>
    <w:rsid w:val="00E85CAC"/>
    <w:rsid w:val="00E86293"/>
    <w:rsid w:val="00E875E2"/>
    <w:rsid w:val="00E90499"/>
    <w:rsid w:val="00E92A5D"/>
    <w:rsid w:val="00E93AF0"/>
    <w:rsid w:val="00E942E4"/>
    <w:rsid w:val="00E94327"/>
    <w:rsid w:val="00E95F51"/>
    <w:rsid w:val="00E96489"/>
    <w:rsid w:val="00E97577"/>
    <w:rsid w:val="00EA01A6"/>
    <w:rsid w:val="00EA01C6"/>
    <w:rsid w:val="00EA36B3"/>
    <w:rsid w:val="00EA3C15"/>
    <w:rsid w:val="00EA4285"/>
    <w:rsid w:val="00EA51D1"/>
    <w:rsid w:val="00EA58A3"/>
    <w:rsid w:val="00EA696D"/>
    <w:rsid w:val="00EA7121"/>
    <w:rsid w:val="00EA7148"/>
    <w:rsid w:val="00EA744B"/>
    <w:rsid w:val="00EA7FBB"/>
    <w:rsid w:val="00EB0CC4"/>
    <w:rsid w:val="00EB15D9"/>
    <w:rsid w:val="00EB1D93"/>
    <w:rsid w:val="00EB21C5"/>
    <w:rsid w:val="00EB27DC"/>
    <w:rsid w:val="00EB3588"/>
    <w:rsid w:val="00EB555C"/>
    <w:rsid w:val="00EB69DB"/>
    <w:rsid w:val="00EC08AB"/>
    <w:rsid w:val="00EC1269"/>
    <w:rsid w:val="00EC14D1"/>
    <w:rsid w:val="00EC26DB"/>
    <w:rsid w:val="00EC2975"/>
    <w:rsid w:val="00EC312B"/>
    <w:rsid w:val="00EC3659"/>
    <w:rsid w:val="00EC4B65"/>
    <w:rsid w:val="00EC4F31"/>
    <w:rsid w:val="00EC5AEE"/>
    <w:rsid w:val="00EC5E0C"/>
    <w:rsid w:val="00EC638F"/>
    <w:rsid w:val="00EC77EA"/>
    <w:rsid w:val="00ED0276"/>
    <w:rsid w:val="00ED042D"/>
    <w:rsid w:val="00ED06FD"/>
    <w:rsid w:val="00ED0D72"/>
    <w:rsid w:val="00ED0E29"/>
    <w:rsid w:val="00ED42F8"/>
    <w:rsid w:val="00ED452B"/>
    <w:rsid w:val="00ED5B42"/>
    <w:rsid w:val="00ED61A2"/>
    <w:rsid w:val="00ED759E"/>
    <w:rsid w:val="00ED7B76"/>
    <w:rsid w:val="00ED7FC8"/>
    <w:rsid w:val="00EE0733"/>
    <w:rsid w:val="00EE1461"/>
    <w:rsid w:val="00EE14AB"/>
    <w:rsid w:val="00EE3699"/>
    <w:rsid w:val="00EE3BFF"/>
    <w:rsid w:val="00EE51A0"/>
    <w:rsid w:val="00EF0116"/>
    <w:rsid w:val="00EF1221"/>
    <w:rsid w:val="00EF1C0F"/>
    <w:rsid w:val="00EF25AB"/>
    <w:rsid w:val="00EF407C"/>
    <w:rsid w:val="00EF5353"/>
    <w:rsid w:val="00F00428"/>
    <w:rsid w:val="00F0054D"/>
    <w:rsid w:val="00F0087F"/>
    <w:rsid w:val="00F00981"/>
    <w:rsid w:val="00F0265D"/>
    <w:rsid w:val="00F0327B"/>
    <w:rsid w:val="00F04BE5"/>
    <w:rsid w:val="00F074FB"/>
    <w:rsid w:val="00F07E96"/>
    <w:rsid w:val="00F11387"/>
    <w:rsid w:val="00F120BB"/>
    <w:rsid w:val="00F1318B"/>
    <w:rsid w:val="00F171F1"/>
    <w:rsid w:val="00F20FFC"/>
    <w:rsid w:val="00F22BDC"/>
    <w:rsid w:val="00F230AA"/>
    <w:rsid w:val="00F27B89"/>
    <w:rsid w:val="00F3016D"/>
    <w:rsid w:val="00F30F88"/>
    <w:rsid w:val="00F31736"/>
    <w:rsid w:val="00F40263"/>
    <w:rsid w:val="00F4111B"/>
    <w:rsid w:val="00F423DA"/>
    <w:rsid w:val="00F42910"/>
    <w:rsid w:val="00F42CF0"/>
    <w:rsid w:val="00F430C9"/>
    <w:rsid w:val="00F45CAA"/>
    <w:rsid w:val="00F4776D"/>
    <w:rsid w:val="00F47CC4"/>
    <w:rsid w:val="00F47F14"/>
    <w:rsid w:val="00F47F4F"/>
    <w:rsid w:val="00F50E4F"/>
    <w:rsid w:val="00F5382E"/>
    <w:rsid w:val="00F53A87"/>
    <w:rsid w:val="00F53F91"/>
    <w:rsid w:val="00F55E5D"/>
    <w:rsid w:val="00F562E1"/>
    <w:rsid w:val="00F56B76"/>
    <w:rsid w:val="00F61C3C"/>
    <w:rsid w:val="00F62E81"/>
    <w:rsid w:val="00F65DC4"/>
    <w:rsid w:val="00F66588"/>
    <w:rsid w:val="00F67AD6"/>
    <w:rsid w:val="00F70477"/>
    <w:rsid w:val="00F710E6"/>
    <w:rsid w:val="00F71438"/>
    <w:rsid w:val="00F71AB9"/>
    <w:rsid w:val="00F725DA"/>
    <w:rsid w:val="00F73D2E"/>
    <w:rsid w:val="00F76990"/>
    <w:rsid w:val="00F77E97"/>
    <w:rsid w:val="00F81084"/>
    <w:rsid w:val="00F81104"/>
    <w:rsid w:val="00F81A8E"/>
    <w:rsid w:val="00F81F8C"/>
    <w:rsid w:val="00F827C4"/>
    <w:rsid w:val="00F83806"/>
    <w:rsid w:val="00F8602F"/>
    <w:rsid w:val="00F86BA6"/>
    <w:rsid w:val="00F903D8"/>
    <w:rsid w:val="00F91E86"/>
    <w:rsid w:val="00F922C6"/>
    <w:rsid w:val="00F924C4"/>
    <w:rsid w:val="00F9334F"/>
    <w:rsid w:val="00F9396F"/>
    <w:rsid w:val="00F94115"/>
    <w:rsid w:val="00F943D2"/>
    <w:rsid w:val="00F94C85"/>
    <w:rsid w:val="00F95280"/>
    <w:rsid w:val="00F96642"/>
    <w:rsid w:val="00FA0284"/>
    <w:rsid w:val="00FA0CBF"/>
    <w:rsid w:val="00FA0D04"/>
    <w:rsid w:val="00FA1A15"/>
    <w:rsid w:val="00FA2C6B"/>
    <w:rsid w:val="00FA39BE"/>
    <w:rsid w:val="00FA4A0B"/>
    <w:rsid w:val="00FB1FA7"/>
    <w:rsid w:val="00FB2646"/>
    <w:rsid w:val="00FB320F"/>
    <w:rsid w:val="00FB4784"/>
    <w:rsid w:val="00FB4930"/>
    <w:rsid w:val="00FB5A20"/>
    <w:rsid w:val="00FB6D35"/>
    <w:rsid w:val="00FB7C78"/>
    <w:rsid w:val="00FC0552"/>
    <w:rsid w:val="00FC07B8"/>
    <w:rsid w:val="00FC084B"/>
    <w:rsid w:val="00FC0D5E"/>
    <w:rsid w:val="00FC354E"/>
    <w:rsid w:val="00FC5508"/>
    <w:rsid w:val="00FC5520"/>
    <w:rsid w:val="00FC5771"/>
    <w:rsid w:val="00FC5E52"/>
    <w:rsid w:val="00FC62E2"/>
    <w:rsid w:val="00FD391F"/>
    <w:rsid w:val="00FD6D61"/>
    <w:rsid w:val="00FD708B"/>
    <w:rsid w:val="00FD7C5E"/>
    <w:rsid w:val="00FE3276"/>
    <w:rsid w:val="00FE383E"/>
    <w:rsid w:val="00FF0782"/>
    <w:rsid w:val="00FF15E8"/>
    <w:rsid w:val="00FF1CAF"/>
    <w:rsid w:val="00FF30F7"/>
    <w:rsid w:val="00FF3128"/>
    <w:rsid w:val="00FF4C58"/>
    <w:rsid w:val="00FF7030"/>
    <w:rsid w:val="01064C9A"/>
    <w:rsid w:val="01205D5C"/>
    <w:rsid w:val="01B82438"/>
    <w:rsid w:val="02071A61"/>
    <w:rsid w:val="02072932"/>
    <w:rsid w:val="02333780"/>
    <w:rsid w:val="02420CA3"/>
    <w:rsid w:val="025951B8"/>
    <w:rsid w:val="02872A7B"/>
    <w:rsid w:val="03222CFC"/>
    <w:rsid w:val="03776642"/>
    <w:rsid w:val="03CA3782"/>
    <w:rsid w:val="03E94B2B"/>
    <w:rsid w:val="043419D8"/>
    <w:rsid w:val="04426558"/>
    <w:rsid w:val="04852796"/>
    <w:rsid w:val="048B1624"/>
    <w:rsid w:val="049F18CA"/>
    <w:rsid w:val="04CF74FA"/>
    <w:rsid w:val="050C0A00"/>
    <w:rsid w:val="05445D91"/>
    <w:rsid w:val="058C2BDC"/>
    <w:rsid w:val="05AD1B88"/>
    <w:rsid w:val="05C220DB"/>
    <w:rsid w:val="05D879DA"/>
    <w:rsid w:val="05FE0C85"/>
    <w:rsid w:val="062F07EF"/>
    <w:rsid w:val="06545855"/>
    <w:rsid w:val="06682F17"/>
    <w:rsid w:val="067163BB"/>
    <w:rsid w:val="06730EF1"/>
    <w:rsid w:val="06861A4E"/>
    <w:rsid w:val="068A6917"/>
    <w:rsid w:val="069845E6"/>
    <w:rsid w:val="069D1BFD"/>
    <w:rsid w:val="06B62FE7"/>
    <w:rsid w:val="06B9231B"/>
    <w:rsid w:val="06B96CE6"/>
    <w:rsid w:val="06BB052D"/>
    <w:rsid w:val="06BB2083"/>
    <w:rsid w:val="06C21663"/>
    <w:rsid w:val="06C96F42"/>
    <w:rsid w:val="06CE6EF4"/>
    <w:rsid w:val="06E45E26"/>
    <w:rsid w:val="07490ADF"/>
    <w:rsid w:val="07773F7A"/>
    <w:rsid w:val="07D75ACC"/>
    <w:rsid w:val="07EC09AB"/>
    <w:rsid w:val="07F04A55"/>
    <w:rsid w:val="08416AF0"/>
    <w:rsid w:val="08720B99"/>
    <w:rsid w:val="0906547F"/>
    <w:rsid w:val="09306FA2"/>
    <w:rsid w:val="09333979"/>
    <w:rsid w:val="0AA277E2"/>
    <w:rsid w:val="0AB319EF"/>
    <w:rsid w:val="0ABE665F"/>
    <w:rsid w:val="0AC0235E"/>
    <w:rsid w:val="0ACC0D02"/>
    <w:rsid w:val="0AE07F21"/>
    <w:rsid w:val="0B024724"/>
    <w:rsid w:val="0B196371"/>
    <w:rsid w:val="0B32010F"/>
    <w:rsid w:val="0B38079D"/>
    <w:rsid w:val="0B5C3E34"/>
    <w:rsid w:val="0B6A21C3"/>
    <w:rsid w:val="0B9C6927"/>
    <w:rsid w:val="0BBA1BB8"/>
    <w:rsid w:val="0BFD70DF"/>
    <w:rsid w:val="0C264442"/>
    <w:rsid w:val="0C4A01D3"/>
    <w:rsid w:val="0C817812"/>
    <w:rsid w:val="0CBE44A8"/>
    <w:rsid w:val="0CC864FD"/>
    <w:rsid w:val="0CD2016A"/>
    <w:rsid w:val="0CEE60EF"/>
    <w:rsid w:val="0D27515D"/>
    <w:rsid w:val="0D5F0B22"/>
    <w:rsid w:val="0D766D04"/>
    <w:rsid w:val="0DC32494"/>
    <w:rsid w:val="0DE14AC5"/>
    <w:rsid w:val="0E2F6AD4"/>
    <w:rsid w:val="0E3621B7"/>
    <w:rsid w:val="0E39045D"/>
    <w:rsid w:val="0E4A146B"/>
    <w:rsid w:val="0E5A0F8B"/>
    <w:rsid w:val="0E735142"/>
    <w:rsid w:val="0EAA3109"/>
    <w:rsid w:val="0EBC59A1"/>
    <w:rsid w:val="0EDE2DB2"/>
    <w:rsid w:val="0F2B2F09"/>
    <w:rsid w:val="0F692F34"/>
    <w:rsid w:val="0F77002E"/>
    <w:rsid w:val="0F900551"/>
    <w:rsid w:val="0FD523A5"/>
    <w:rsid w:val="0FEB1C2B"/>
    <w:rsid w:val="0FED7751"/>
    <w:rsid w:val="10275BD8"/>
    <w:rsid w:val="10782B35"/>
    <w:rsid w:val="109127D2"/>
    <w:rsid w:val="10C743D2"/>
    <w:rsid w:val="10CB7A1C"/>
    <w:rsid w:val="10E87F18"/>
    <w:rsid w:val="110C00AB"/>
    <w:rsid w:val="11123CAE"/>
    <w:rsid w:val="11425155"/>
    <w:rsid w:val="119A064D"/>
    <w:rsid w:val="11A402E3"/>
    <w:rsid w:val="11B07896"/>
    <w:rsid w:val="11F102D9"/>
    <w:rsid w:val="12090FBA"/>
    <w:rsid w:val="12154D3D"/>
    <w:rsid w:val="12366BD3"/>
    <w:rsid w:val="12AB744F"/>
    <w:rsid w:val="12D56705"/>
    <w:rsid w:val="130628D8"/>
    <w:rsid w:val="130F253F"/>
    <w:rsid w:val="13375337"/>
    <w:rsid w:val="1370283F"/>
    <w:rsid w:val="13A46379"/>
    <w:rsid w:val="13D8673A"/>
    <w:rsid w:val="146176E0"/>
    <w:rsid w:val="14902DA1"/>
    <w:rsid w:val="14EA34B2"/>
    <w:rsid w:val="14F52C04"/>
    <w:rsid w:val="153C0833"/>
    <w:rsid w:val="155527AF"/>
    <w:rsid w:val="156E52E3"/>
    <w:rsid w:val="158C3FC8"/>
    <w:rsid w:val="159C79DC"/>
    <w:rsid w:val="15BD1BCA"/>
    <w:rsid w:val="15DD3DC4"/>
    <w:rsid w:val="15F1425A"/>
    <w:rsid w:val="167F3B6D"/>
    <w:rsid w:val="168B3820"/>
    <w:rsid w:val="169A7F07"/>
    <w:rsid w:val="16D52989"/>
    <w:rsid w:val="17C35ACE"/>
    <w:rsid w:val="181525FA"/>
    <w:rsid w:val="18296DD8"/>
    <w:rsid w:val="18D370E2"/>
    <w:rsid w:val="19245F9A"/>
    <w:rsid w:val="19476164"/>
    <w:rsid w:val="19657B96"/>
    <w:rsid w:val="19804109"/>
    <w:rsid w:val="1984308C"/>
    <w:rsid w:val="19957F7A"/>
    <w:rsid w:val="19C06A8A"/>
    <w:rsid w:val="19CE3B11"/>
    <w:rsid w:val="19F64CC5"/>
    <w:rsid w:val="1A044015"/>
    <w:rsid w:val="1A323A45"/>
    <w:rsid w:val="1A5F730D"/>
    <w:rsid w:val="1A614656"/>
    <w:rsid w:val="1A64170E"/>
    <w:rsid w:val="1AD82DAC"/>
    <w:rsid w:val="1AF51BB0"/>
    <w:rsid w:val="1B302BE8"/>
    <w:rsid w:val="1B4A7401"/>
    <w:rsid w:val="1B515F95"/>
    <w:rsid w:val="1BD04EB4"/>
    <w:rsid w:val="1C09588C"/>
    <w:rsid w:val="1C161DDD"/>
    <w:rsid w:val="1C1B6365"/>
    <w:rsid w:val="1C320A9C"/>
    <w:rsid w:val="1C356C65"/>
    <w:rsid w:val="1C550B58"/>
    <w:rsid w:val="1C616B23"/>
    <w:rsid w:val="1D242D3E"/>
    <w:rsid w:val="1D3864FB"/>
    <w:rsid w:val="1D66533D"/>
    <w:rsid w:val="1D6F314E"/>
    <w:rsid w:val="1D7D3EB9"/>
    <w:rsid w:val="1D7E40DE"/>
    <w:rsid w:val="1D95430B"/>
    <w:rsid w:val="1DAA4ED3"/>
    <w:rsid w:val="1DAD0520"/>
    <w:rsid w:val="1DC046F7"/>
    <w:rsid w:val="1DE026A3"/>
    <w:rsid w:val="1DF42051"/>
    <w:rsid w:val="1E5077D8"/>
    <w:rsid w:val="1EB1403F"/>
    <w:rsid w:val="1F69491A"/>
    <w:rsid w:val="1F8D23B7"/>
    <w:rsid w:val="1FBE4C66"/>
    <w:rsid w:val="1FDC50EC"/>
    <w:rsid w:val="1FE83A91"/>
    <w:rsid w:val="1FF8225A"/>
    <w:rsid w:val="20084133"/>
    <w:rsid w:val="201E4CCA"/>
    <w:rsid w:val="20410CE9"/>
    <w:rsid w:val="20BD6197"/>
    <w:rsid w:val="20FD0F43"/>
    <w:rsid w:val="21585F1B"/>
    <w:rsid w:val="2173382E"/>
    <w:rsid w:val="217A7082"/>
    <w:rsid w:val="21BC7122"/>
    <w:rsid w:val="21C75A6D"/>
    <w:rsid w:val="21D40771"/>
    <w:rsid w:val="220605FD"/>
    <w:rsid w:val="226F3FF6"/>
    <w:rsid w:val="22A12348"/>
    <w:rsid w:val="22AD34AF"/>
    <w:rsid w:val="22CD1505"/>
    <w:rsid w:val="23CD2C5E"/>
    <w:rsid w:val="23D72242"/>
    <w:rsid w:val="23D91F5E"/>
    <w:rsid w:val="2406098A"/>
    <w:rsid w:val="240C5E63"/>
    <w:rsid w:val="241F1E28"/>
    <w:rsid w:val="242860CF"/>
    <w:rsid w:val="242B18E6"/>
    <w:rsid w:val="245636BF"/>
    <w:rsid w:val="246B10FD"/>
    <w:rsid w:val="24701892"/>
    <w:rsid w:val="24811B48"/>
    <w:rsid w:val="25211AA8"/>
    <w:rsid w:val="25657932"/>
    <w:rsid w:val="25B2387B"/>
    <w:rsid w:val="25C97A5B"/>
    <w:rsid w:val="25FC44BE"/>
    <w:rsid w:val="26217FAF"/>
    <w:rsid w:val="266D4CF0"/>
    <w:rsid w:val="268C788E"/>
    <w:rsid w:val="26EC20B9"/>
    <w:rsid w:val="274C4F7C"/>
    <w:rsid w:val="27677991"/>
    <w:rsid w:val="27CD61E7"/>
    <w:rsid w:val="28101DD7"/>
    <w:rsid w:val="282275C0"/>
    <w:rsid w:val="28467729"/>
    <w:rsid w:val="28795BCE"/>
    <w:rsid w:val="28DB23E5"/>
    <w:rsid w:val="29D86924"/>
    <w:rsid w:val="29DE2EB4"/>
    <w:rsid w:val="2A0E0981"/>
    <w:rsid w:val="2A284603"/>
    <w:rsid w:val="2A3C68B2"/>
    <w:rsid w:val="2A7C3754"/>
    <w:rsid w:val="2A801553"/>
    <w:rsid w:val="2ACF41CB"/>
    <w:rsid w:val="2AE17A5A"/>
    <w:rsid w:val="2B850141"/>
    <w:rsid w:val="2BA57BA0"/>
    <w:rsid w:val="2C0A31BE"/>
    <w:rsid w:val="2C354DC9"/>
    <w:rsid w:val="2C6941FF"/>
    <w:rsid w:val="2CF3734B"/>
    <w:rsid w:val="2CFE1498"/>
    <w:rsid w:val="2D0F4C2F"/>
    <w:rsid w:val="2D923467"/>
    <w:rsid w:val="2DB53187"/>
    <w:rsid w:val="2DCC49F2"/>
    <w:rsid w:val="2DE15836"/>
    <w:rsid w:val="2E053E8C"/>
    <w:rsid w:val="2E0A0A82"/>
    <w:rsid w:val="2E0F44D8"/>
    <w:rsid w:val="2E435663"/>
    <w:rsid w:val="2ED14F66"/>
    <w:rsid w:val="2EE31F3A"/>
    <w:rsid w:val="2F417188"/>
    <w:rsid w:val="2F4B1946"/>
    <w:rsid w:val="2F5C1222"/>
    <w:rsid w:val="301A6C74"/>
    <w:rsid w:val="30B629D3"/>
    <w:rsid w:val="30C5690A"/>
    <w:rsid w:val="30D349FC"/>
    <w:rsid w:val="30D83F2F"/>
    <w:rsid w:val="30F07D67"/>
    <w:rsid w:val="312155F5"/>
    <w:rsid w:val="31FF0E6C"/>
    <w:rsid w:val="32C406E0"/>
    <w:rsid w:val="32F96AA8"/>
    <w:rsid w:val="32FD27B6"/>
    <w:rsid w:val="334138A4"/>
    <w:rsid w:val="33433781"/>
    <w:rsid w:val="33537D14"/>
    <w:rsid w:val="33763C41"/>
    <w:rsid w:val="34B25DEE"/>
    <w:rsid w:val="35272C7B"/>
    <w:rsid w:val="3543355E"/>
    <w:rsid w:val="35491A9D"/>
    <w:rsid w:val="356C127C"/>
    <w:rsid w:val="35847960"/>
    <w:rsid w:val="35BF6BEA"/>
    <w:rsid w:val="35C461A1"/>
    <w:rsid w:val="35C6578F"/>
    <w:rsid w:val="35DB6274"/>
    <w:rsid w:val="35EA010B"/>
    <w:rsid w:val="360B1AD4"/>
    <w:rsid w:val="36346C88"/>
    <w:rsid w:val="363F1332"/>
    <w:rsid w:val="366F017D"/>
    <w:rsid w:val="368A71F8"/>
    <w:rsid w:val="36A92329"/>
    <w:rsid w:val="36C739BA"/>
    <w:rsid w:val="36D050A3"/>
    <w:rsid w:val="37353608"/>
    <w:rsid w:val="37CB1075"/>
    <w:rsid w:val="37D61B98"/>
    <w:rsid w:val="37E05ECF"/>
    <w:rsid w:val="38635F53"/>
    <w:rsid w:val="388D1669"/>
    <w:rsid w:val="38991974"/>
    <w:rsid w:val="38CC171C"/>
    <w:rsid w:val="3905700A"/>
    <w:rsid w:val="393F6FFB"/>
    <w:rsid w:val="39477394"/>
    <w:rsid w:val="394A182B"/>
    <w:rsid w:val="395858B4"/>
    <w:rsid w:val="3970251A"/>
    <w:rsid w:val="398268AC"/>
    <w:rsid w:val="39DB24D8"/>
    <w:rsid w:val="3A380A7B"/>
    <w:rsid w:val="3A993EAE"/>
    <w:rsid w:val="3AA840F1"/>
    <w:rsid w:val="3AC966BB"/>
    <w:rsid w:val="3AF570B5"/>
    <w:rsid w:val="3B1C1EFC"/>
    <w:rsid w:val="3B3836C7"/>
    <w:rsid w:val="3B735C80"/>
    <w:rsid w:val="3BC71ADD"/>
    <w:rsid w:val="3BE82A8F"/>
    <w:rsid w:val="3BEA3346"/>
    <w:rsid w:val="3BF35840"/>
    <w:rsid w:val="3C245997"/>
    <w:rsid w:val="3C5462DE"/>
    <w:rsid w:val="3C926F85"/>
    <w:rsid w:val="3D24049C"/>
    <w:rsid w:val="3D2739F3"/>
    <w:rsid w:val="3D68711F"/>
    <w:rsid w:val="3D7618E1"/>
    <w:rsid w:val="3DAE7C70"/>
    <w:rsid w:val="3DBD4357"/>
    <w:rsid w:val="3E15176F"/>
    <w:rsid w:val="3E3C527C"/>
    <w:rsid w:val="3E9C21BE"/>
    <w:rsid w:val="3EA951C1"/>
    <w:rsid w:val="3EFE2C72"/>
    <w:rsid w:val="3F4F5483"/>
    <w:rsid w:val="3F5860E5"/>
    <w:rsid w:val="3F591E5E"/>
    <w:rsid w:val="3F724832"/>
    <w:rsid w:val="3F9E6B2B"/>
    <w:rsid w:val="3FF75596"/>
    <w:rsid w:val="40027393"/>
    <w:rsid w:val="402F44B0"/>
    <w:rsid w:val="408B69E7"/>
    <w:rsid w:val="40912071"/>
    <w:rsid w:val="40C84983"/>
    <w:rsid w:val="41670862"/>
    <w:rsid w:val="41C270AF"/>
    <w:rsid w:val="41CA6005"/>
    <w:rsid w:val="41E2276B"/>
    <w:rsid w:val="42045EFC"/>
    <w:rsid w:val="4209430B"/>
    <w:rsid w:val="42445AD3"/>
    <w:rsid w:val="4262727B"/>
    <w:rsid w:val="426B4382"/>
    <w:rsid w:val="42D848D1"/>
    <w:rsid w:val="43284021"/>
    <w:rsid w:val="433824BB"/>
    <w:rsid w:val="434907ED"/>
    <w:rsid w:val="43635749"/>
    <w:rsid w:val="436567F7"/>
    <w:rsid w:val="4365723A"/>
    <w:rsid w:val="439416B6"/>
    <w:rsid w:val="43A7763B"/>
    <w:rsid w:val="43E8738E"/>
    <w:rsid w:val="442962A2"/>
    <w:rsid w:val="44610C31"/>
    <w:rsid w:val="44916530"/>
    <w:rsid w:val="44A678F3"/>
    <w:rsid w:val="44BB4C9D"/>
    <w:rsid w:val="44C67EA8"/>
    <w:rsid w:val="44CD30D2"/>
    <w:rsid w:val="44DB3132"/>
    <w:rsid w:val="44E81CBA"/>
    <w:rsid w:val="44E93ED3"/>
    <w:rsid w:val="456733BF"/>
    <w:rsid w:val="456B28EB"/>
    <w:rsid w:val="456B4699"/>
    <w:rsid w:val="45797B53"/>
    <w:rsid w:val="459260C9"/>
    <w:rsid w:val="45C1250B"/>
    <w:rsid w:val="46053912"/>
    <w:rsid w:val="461D7E8F"/>
    <w:rsid w:val="468227FC"/>
    <w:rsid w:val="46F16FC5"/>
    <w:rsid w:val="472D37D8"/>
    <w:rsid w:val="47873C17"/>
    <w:rsid w:val="47B916EB"/>
    <w:rsid w:val="47FB7F56"/>
    <w:rsid w:val="480C2B70"/>
    <w:rsid w:val="481132D5"/>
    <w:rsid w:val="48322590"/>
    <w:rsid w:val="485954E8"/>
    <w:rsid w:val="48971351"/>
    <w:rsid w:val="48FF6F9B"/>
    <w:rsid w:val="492131CC"/>
    <w:rsid w:val="492E03C3"/>
    <w:rsid w:val="496322F6"/>
    <w:rsid w:val="497955D6"/>
    <w:rsid w:val="49CE4C49"/>
    <w:rsid w:val="49E113CD"/>
    <w:rsid w:val="49FD1D99"/>
    <w:rsid w:val="4A036364"/>
    <w:rsid w:val="4A4620E5"/>
    <w:rsid w:val="4A585ED7"/>
    <w:rsid w:val="4AEE5B50"/>
    <w:rsid w:val="4B136CD7"/>
    <w:rsid w:val="4B3649C1"/>
    <w:rsid w:val="4B6E3422"/>
    <w:rsid w:val="4C082C80"/>
    <w:rsid w:val="4C1C27E2"/>
    <w:rsid w:val="4C2C3F0A"/>
    <w:rsid w:val="4C33798C"/>
    <w:rsid w:val="4C3630DF"/>
    <w:rsid w:val="4C416153"/>
    <w:rsid w:val="4C6A38FC"/>
    <w:rsid w:val="4C6D6F48"/>
    <w:rsid w:val="4CC51F44"/>
    <w:rsid w:val="4D505B6D"/>
    <w:rsid w:val="4D693BB4"/>
    <w:rsid w:val="4DE529F9"/>
    <w:rsid w:val="4E487C6D"/>
    <w:rsid w:val="4E6016A8"/>
    <w:rsid w:val="4E7814F5"/>
    <w:rsid w:val="4E9510FC"/>
    <w:rsid w:val="4EB15781"/>
    <w:rsid w:val="4EB7192B"/>
    <w:rsid w:val="4F160C8C"/>
    <w:rsid w:val="4F450AF0"/>
    <w:rsid w:val="4F5B752C"/>
    <w:rsid w:val="502B02F9"/>
    <w:rsid w:val="50766856"/>
    <w:rsid w:val="50923850"/>
    <w:rsid w:val="50F86BE8"/>
    <w:rsid w:val="51971121"/>
    <w:rsid w:val="51BC3A80"/>
    <w:rsid w:val="51C54B1A"/>
    <w:rsid w:val="521072FC"/>
    <w:rsid w:val="526130AB"/>
    <w:rsid w:val="52AD009F"/>
    <w:rsid w:val="52DC0984"/>
    <w:rsid w:val="52EF3147"/>
    <w:rsid w:val="52FA6C83"/>
    <w:rsid w:val="5302663C"/>
    <w:rsid w:val="53227B62"/>
    <w:rsid w:val="536270DB"/>
    <w:rsid w:val="537F5EDF"/>
    <w:rsid w:val="53D42FD3"/>
    <w:rsid w:val="53ED6A20"/>
    <w:rsid w:val="540E65F8"/>
    <w:rsid w:val="54240DF8"/>
    <w:rsid w:val="543640C4"/>
    <w:rsid w:val="54617393"/>
    <w:rsid w:val="54637754"/>
    <w:rsid w:val="55006D18"/>
    <w:rsid w:val="55067F3A"/>
    <w:rsid w:val="556371AC"/>
    <w:rsid w:val="559C7DD5"/>
    <w:rsid w:val="55D575B1"/>
    <w:rsid w:val="55E069DD"/>
    <w:rsid w:val="55EF6976"/>
    <w:rsid w:val="561777FB"/>
    <w:rsid w:val="563665FD"/>
    <w:rsid w:val="56423FD8"/>
    <w:rsid w:val="56464A92"/>
    <w:rsid w:val="566E5D97"/>
    <w:rsid w:val="56925F29"/>
    <w:rsid w:val="56B709D4"/>
    <w:rsid w:val="571A4A01"/>
    <w:rsid w:val="572731A4"/>
    <w:rsid w:val="575339D6"/>
    <w:rsid w:val="57882E88"/>
    <w:rsid w:val="57AC0A95"/>
    <w:rsid w:val="57CE1642"/>
    <w:rsid w:val="58076C38"/>
    <w:rsid w:val="581623FB"/>
    <w:rsid w:val="583B61E8"/>
    <w:rsid w:val="58B07973"/>
    <w:rsid w:val="58ED04B5"/>
    <w:rsid w:val="595E0555"/>
    <w:rsid w:val="599803B7"/>
    <w:rsid w:val="5A182B77"/>
    <w:rsid w:val="5A50460E"/>
    <w:rsid w:val="5A554E5B"/>
    <w:rsid w:val="5A557999"/>
    <w:rsid w:val="5AB76903"/>
    <w:rsid w:val="5ACB1A0A"/>
    <w:rsid w:val="5B215ACE"/>
    <w:rsid w:val="5B4B3112"/>
    <w:rsid w:val="5BDC1687"/>
    <w:rsid w:val="5C025093"/>
    <w:rsid w:val="5C5C72F7"/>
    <w:rsid w:val="5C6E4D42"/>
    <w:rsid w:val="5C7846DE"/>
    <w:rsid w:val="5C863052"/>
    <w:rsid w:val="5C9F1E6F"/>
    <w:rsid w:val="5CBF3A09"/>
    <w:rsid w:val="5CE648D9"/>
    <w:rsid w:val="5CFA4828"/>
    <w:rsid w:val="5D0B3234"/>
    <w:rsid w:val="5D105DFA"/>
    <w:rsid w:val="5D2C0933"/>
    <w:rsid w:val="5D435240"/>
    <w:rsid w:val="5D7B1D7D"/>
    <w:rsid w:val="5D8C2DD2"/>
    <w:rsid w:val="5DD47FC7"/>
    <w:rsid w:val="5E406E22"/>
    <w:rsid w:val="5E662666"/>
    <w:rsid w:val="5E79407E"/>
    <w:rsid w:val="5ED561D5"/>
    <w:rsid w:val="5F1850A3"/>
    <w:rsid w:val="5F263154"/>
    <w:rsid w:val="5F4C731B"/>
    <w:rsid w:val="5F676F6D"/>
    <w:rsid w:val="5F8B5C0B"/>
    <w:rsid w:val="5F907574"/>
    <w:rsid w:val="5FB54A36"/>
    <w:rsid w:val="5FC13BB9"/>
    <w:rsid w:val="60C505C6"/>
    <w:rsid w:val="619A63CB"/>
    <w:rsid w:val="61D30C35"/>
    <w:rsid w:val="620677CB"/>
    <w:rsid w:val="620B4DE2"/>
    <w:rsid w:val="62A25EEF"/>
    <w:rsid w:val="62BA2B50"/>
    <w:rsid w:val="633D0FCB"/>
    <w:rsid w:val="635611A9"/>
    <w:rsid w:val="63BD210C"/>
    <w:rsid w:val="63E1229E"/>
    <w:rsid w:val="63ED6F9C"/>
    <w:rsid w:val="643644C6"/>
    <w:rsid w:val="646802C9"/>
    <w:rsid w:val="64A21A2D"/>
    <w:rsid w:val="65053D6A"/>
    <w:rsid w:val="653F0282"/>
    <w:rsid w:val="659770B8"/>
    <w:rsid w:val="65BC08CD"/>
    <w:rsid w:val="65C47BCE"/>
    <w:rsid w:val="669143E6"/>
    <w:rsid w:val="66E0683D"/>
    <w:rsid w:val="66E63727"/>
    <w:rsid w:val="670F0ED0"/>
    <w:rsid w:val="678F3D65"/>
    <w:rsid w:val="67C458B8"/>
    <w:rsid w:val="67CE67B4"/>
    <w:rsid w:val="67F41C3C"/>
    <w:rsid w:val="68033400"/>
    <w:rsid w:val="682409AB"/>
    <w:rsid w:val="68555008"/>
    <w:rsid w:val="68770E48"/>
    <w:rsid w:val="689A7263"/>
    <w:rsid w:val="68C36A8E"/>
    <w:rsid w:val="68DF7B10"/>
    <w:rsid w:val="690A11E7"/>
    <w:rsid w:val="699A7D5E"/>
    <w:rsid w:val="69DC1964"/>
    <w:rsid w:val="6A933BC6"/>
    <w:rsid w:val="6A974ECC"/>
    <w:rsid w:val="6AA302AD"/>
    <w:rsid w:val="6ACA3A8C"/>
    <w:rsid w:val="6AF93E55"/>
    <w:rsid w:val="6B43739A"/>
    <w:rsid w:val="6B713F07"/>
    <w:rsid w:val="6B7F174F"/>
    <w:rsid w:val="6BAE515B"/>
    <w:rsid w:val="6BC06659"/>
    <w:rsid w:val="6BDF66CB"/>
    <w:rsid w:val="6C022DB1"/>
    <w:rsid w:val="6C501D6F"/>
    <w:rsid w:val="6C5C0714"/>
    <w:rsid w:val="6CD31811"/>
    <w:rsid w:val="6CE37341"/>
    <w:rsid w:val="6D3F06C6"/>
    <w:rsid w:val="6D436A9D"/>
    <w:rsid w:val="6D437793"/>
    <w:rsid w:val="6DA37063"/>
    <w:rsid w:val="6DB4632D"/>
    <w:rsid w:val="6E2711F5"/>
    <w:rsid w:val="6E296D1B"/>
    <w:rsid w:val="6E5C0E9F"/>
    <w:rsid w:val="6E972F22"/>
    <w:rsid w:val="6EA37793"/>
    <w:rsid w:val="6EE36ECA"/>
    <w:rsid w:val="6F2412B9"/>
    <w:rsid w:val="6F2D3B7A"/>
    <w:rsid w:val="6FCC3E02"/>
    <w:rsid w:val="6FD20A80"/>
    <w:rsid w:val="6FDB4794"/>
    <w:rsid w:val="70453BB5"/>
    <w:rsid w:val="70470FF4"/>
    <w:rsid w:val="706762C0"/>
    <w:rsid w:val="708E730A"/>
    <w:rsid w:val="70A94143"/>
    <w:rsid w:val="70AD4DDF"/>
    <w:rsid w:val="70F61388"/>
    <w:rsid w:val="70FA04FB"/>
    <w:rsid w:val="711E068D"/>
    <w:rsid w:val="71324DA1"/>
    <w:rsid w:val="71417A4F"/>
    <w:rsid w:val="714C3CB9"/>
    <w:rsid w:val="715C1022"/>
    <w:rsid w:val="71905D9E"/>
    <w:rsid w:val="71D92970"/>
    <w:rsid w:val="720407C0"/>
    <w:rsid w:val="721821D2"/>
    <w:rsid w:val="7242215A"/>
    <w:rsid w:val="72486173"/>
    <w:rsid w:val="72B52A41"/>
    <w:rsid w:val="737A4A4C"/>
    <w:rsid w:val="73922442"/>
    <w:rsid w:val="739C30E9"/>
    <w:rsid w:val="73BB041E"/>
    <w:rsid w:val="73C535EE"/>
    <w:rsid w:val="73FB1F22"/>
    <w:rsid w:val="7422308A"/>
    <w:rsid w:val="742B5867"/>
    <w:rsid w:val="74492CD9"/>
    <w:rsid w:val="74AD0323"/>
    <w:rsid w:val="74B81515"/>
    <w:rsid w:val="75054E30"/>
    <w:rsid w:val="752D3272"/>
    <w:rsid w:val="75385A96"/>
    <w:rsid w:val="755E1F6B"/>
    <w:rsid w:val="756E7621"/>
    <w:rsid w:val="759673D8"/>
    <w:rsid w:val="75DF65F3"/>
    <w:rsid w:val="75E93115"/>
    <w:rsid w:val="75FC2F67"/>
    <w:rsid w:val="76135E6C"/>
    <w:rsid w:val="76BA0E58"/>
    <w:rsid w:val="77083846"/>
    <w:rsid w:val="77335721"/>
    <w:rsid w:val="77751E82"/>
    <w:rsid w:val="77A934D9"/>
    <w:rsid w:val="77CA78B6"/>
    <w:rsid w:val="77D640B1"/>
    <w:rsid w:val="78067795"/>
    <w:rsid w:val="780B7492"/>
    <w:rsid w:val="78225E0E"/>
    <w:rsid w:val="78394BDF"/>
    <w:rsid w:val="78570929"/>
    <w:rsid w:val="786C6182"/>
    <w:rsid w:val="788F1E71"/>
    <w:rsid w:val="791D5A99"/>
    <w:rsid w:val="796007C1"/>
    <w:rsid w:val="79617BF3"/>
    <w:rsid w:val="799221DE"/>
    <w:rsid w:val="79AA1C4E"/>
    <w:rsid w:val="79C3149B"/>
    <w:rsid w:val="79E96D7B"/>
    <w:rsid w:val="7A286951"/>
    <w:rsid w:val="7A435DFC"/>
    <w:rsid w:val="7A6D7F90"/>
    <w:rsid w:val="7A6E6B09"/>
    <w:rsid w:val="7A910DBC"/>
    <w:rsid w:val="7A950DC5"/>
    <w:rsid w:val="7AC72534"/>
    <w:rsid w:val="7B0A6545"/>
    <w:rsid w:val="7B1E74DC"/>
    <w:rsid w:val="7BB73374"/>
    <w:rsid w:val="7BC617A9"/>
    <w:rsid w:val="7BF92C51"/>
    <w:rsid w:val="7C09112C"/>
    <w:rsid w:val="7C0B7A60"/>
    <w:rsid w:val="7C0E0C62"/>
    <w:rsid w:val="7C444D20"/>
    <w:rsid w:val="7C8B5547"/>
    <w:rsid w:val="7CA511C1"/>
    <w:rsid w:val="7CAE39D4"/>
    <w:rsid w:val="7CB92636"/>
    <w:rsid w:val="7CC90BBB"/>
    <w:rsid w:val="7DDD0479"/>
    <w:rsid w:val="7DE042BE"/>
    <w:rsid w:val="7E045C23"/>
    <w:rsid w:val="7E37717F"/>
    <w:rsid w:val="7E3A7D5C"/>
    <w:rsid w:val="7E3C2C6E"/>
    <w:rsid w:val="7E404F8C"/>
    <w:rsid w:val="7E9E4FFB"/>
    <w:rsid w:val="7EA30D77"/>
    <w:rsid w:val="7F361298"/>
    <w:rsid w:val="7FCF3022"/>
    <w:rsid w:val="7FF01447"/>
    <w:rsid w:val="DB6C9BE9"/>
  </w:rsids>
  <m:mathPr>
    <m:mathFont m:val="Cambria Math"/>
    <m:brkBin m:val="before"/>
    <m:brkBinSub m:val="--"/>
    <m:smallFrac m:val="0"/>
    <m:dispDef/>
    <m:lMargin m:val="0"/>
    <m:rMargin m:val="0"/>
    <m:defJc m:val="centerGroup"/>
    <m:wrapRight m:val="1"/>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9" w:semiHidden="0" w:name="heading 5"/>
    <w:lsdException w:qFormat="1" w:unhideWhenUsed="0" w:uiPriority="9" w:semiHidden="0" w:name="heading 6"/>
    <w:lsdException w:qFormat="1" w:uiPriority="9" w:name="heading 7"/>
    <w:lsdException w:qFormat="1" w:uiPriority="9" w:name="heading 8"/>
    <w:lsdException w:qFormat="1" w:uiPriority="9"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99"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iPriority="99" w:semiHidden="0" w:name="table of authorities"/>
    <w:lsdException w:uiPriority="99" w:name="macro"/>
    <w:lsdException w:qFormat="1" w:unhideWhenUsed="0" w:uiPriority="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qFormat="1" w:unhideWhenUsed="0" w:uiPriority="0" w:semiHidden="0" w:name="Message Header"/>
    <w:lsdException w:qFormat="1" w:unhideWhenUsed="0" w:uiPriority="11" w:semiHidden="0" w:name="Subtitle"/>
    <w:lsdException w:uiPriority="99"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qFormat="1" w:uiPriority="99" w:name="HTML Preformatted"/>
    <w:lsdException w:qFormat="1" w:unhideWhenUsed="0" w:uiPriority="0" w:semiHidden="0"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qFormat="1" w:unhideWhenUsed="0" w:uiPriority="0" w:semiHidden="0"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35"/>
    <w:autoRedefine/>
    <w:qFormat/>
    <w:uiPriority w:val="0"/>
    <w:pPr>
      <w:keepNext/>
      <w:keepLines/>
      <w:adjustRightInd w:val="0"/>
      <w:spacing w:before="120" w:line="360" w:lineRule="auto"/>
      <w:textAlignment w:val="baseline"/>
      <w:outlineLvl w:val="0"/>
    </w:pPr>
    <w:rPr>
      <w:rFonts w:eastAsia="黑体"/>
      <w:b/>
      <w:kern w:val="44"/>
      <w:sz w:val="28"/>
      <w:szCs w:val="20"/>
    </w:rPr>
  </w:style>
  <w:style w:type="paragraph" w:styleId="3">
    <w:name w:val="heading 2"/>
    <w:basedOn w:val="1"/>
    <w:next w:val="1"/>
    <w:link w:val="136"/>
    <w:autoRedefine/>
    <w:qFormat/>
    <w:uiPriority w:val="0"/>
    <w:pPr>
      <w:keepNext/>
      <w:spacing w:before="120" w:line="360" w:lineRule="auto"/>
      <w:textAlignment w:val="baseline"/>
      <w:outlineLvl w:val="1"/>
    </w:pPr>
    <w:rPr>
      <w:rFonts w:eastAsia="黑体"/>
      <w:b/>
      <w:kern w:val="0"/>
      <w:sz w:val="28"/>
      <w:szCs w:val="20"/>
    </w:rPr>
  </w:style>
  <w:style w:type="paragraph" w:styleId="4">
    <w:name w:val="heading 3"/>
    <w:basedOn w:val="1"/>
    <w:next w:val="1"/>
    <w:link w:val="81"/>
    <w:autoRedefine/>
    <w:qFormat/>
    <w:uiPriority w:val="0"/>
    <w:pPr>
      <w:tabs>
        <w:tab w:val="left" w:pos="900"/>
      </w:tabs>
      <w:adjustRightInd w:val="0"/>
      <w:spacing w:before="120" w:line="360" w:lineRule="auto"/>
      <w:textAlignment w:val="baseline"/>
      <w:outlineLvl w:val="2"/>
    </w:pPr>
    <w:rPr>
      <w:rFonts w:eastAsia="黑体"/>
      <w:b/>
      <w:kern w:val="0"/>
      <w:sz w:val="28"/>
      <w:szCs w:val="20"/>
    </w:rPr>
  </w:style>
  <w:style w:type="paragraph" w:styleId="5">
    <w:name w:val="heading 4"/>
    <w:basedOn w:val="1"/>
    <w:next w:val="1"/>
    <w:autoRedefine/>
    <w:qFormat/>
    <w:uiPriority w:val="0"/>
    <w:pPr>
      <w:adjustRightInd w:val="0"/>
      <w:spacing w:before="120" w:line="360" w:lineRule="auto"/>
      <w:textAlignment w:val="baseline"/>
      <w:outlineLvl w:val="3"/>
    </w:pPr>
    <w:rPr>
      <w:rFonts w:ascii="Arial" w:hAnsi="Arial" w:eastAsia="黑体"/>
      <w:kern w:val="0"/>
      <w:sz w:val="28"/>
      <w:szCs w:val="20"/>
    </w:rPr>
  </w:style>
  <w:style w:type="paragraph" w:styleId="6">
    <w:name w:val="heading 5"/>
    <w:basedOn w:val="1"/>
    <w:next w:val="1"/>
    <w:link w:val="72"/>
    <w:autoRedefine/>
    <w:qFormat/>
    <w:uiPriority w:val="9"/>
    <w:pPr>
      <w:keepNext/>
      <w:keepLines/>
      <w:spacing w:before="280" w:after="290" w:line="376" w:lineRule="auto"/>
      <w:outlineLvl w:val="4"/>
    </w:pPr>
    <w:rPr>
      <w:b/>
      <w:bCs/>
      <w:sz w:val="28"/>
      <w:szCs w:val="28"/>
    </w:rPr>
  </w:style>
  <w:style w:type="paragraph" w:styleId="7">
    <w:name w:val="heading 6"/>
    <w:basedOn w:val="1"/>
    <w:next w:val="1"/>
    <w:link w:val="82"/>
    <w:autoRedefine/>
    <w:qFormat/>
    <w:uiPriority w:val="9"/>
    <w:pPr>
      <w:keepNext/>
      <w:keepLines/>
      <w:spacing w:before="240" w:after="64" w:line="320" w:lineRule="auto"/>
      <w:outlineLvl w:val="5"/>
    </w:pPr>
    <w:rPr>
      <w:rFonts w:ascii="等线 Light" w:hAnsi="等线 Light" w:eastAsia="等线 Light"/>
      <w:b/>
      <w:bCs/>
      <w:sz w:val="24"/>
    </w:rPr>
  </w:style>
  <w:style w:type="character" w:default="1" w:styleId="45">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8">
    <w:name w:val="toc 7"/>
    <w:basedOn w:val="1"/>
    <w:next w:val="1"/>
    <w:autoRedefine/>
    <w:qFormat/>
    <w:uiPriority w:val="39"/>
    <w:pPr>
      <w:ind w:left="1260"/>
      <w:jc w:val="left"/>
    </w:pPr>
    <w:rPr>
      <w:rFonts w:ascii="等线" w:eastAsia="等线"/>
      <w:sz w:val="18"/>
      <w:szCs w:val="18"/>
    </w:rPr>
  </w:style>
  <w:style w:type="paragraph" w:styleId="9">
    <w:name w:val="table of authorities"/>
    <w:basedOn w:val="1"/>
    <w:next w:val="1"/>
    <w:autoRedefine/>
    <w:unhideWhenUsed/>
    <w:qFormat/>
    <w:uiPriority w:val="99"/>
    <w:pPr>
      <w:ind w:left="420" w:leftChars="200"/>
    </w:pPr>
  </w:style>
  <w:style w:type="paragraph" w:styleId="10">
    <w:name w:val="Normal Indent"/>
    <w:basedOn w:val="1"/>
    <w:next w:val="1"/>
    <w:link w:val="83"/>
    <w:autoRedefine/>
    <w:qFormat/>
    <w:uiPriority w:val="0"/>
    <w:pPr>
      <w:ind w:firstLine="420"/>
    </w:pPr>
    <w:rPr>
      <w:szCs w:val="20"/>
    </w:rPr>
  </w:style>
  <w:style w:type="paragraph" w:styleId="11">
    <w:name w:val="Document Map"/>
    <w:basedOn w:val="1"/>
    <w:autoRedefine/>
    <w:qFormat/>
    <w:uiPriority w:val="0"/>
    <w:pPr>
      <w:shd w:val="clear" w:color="auto" w:fill="000080"/>
    </w:pPr>
  </w:style>
  <w:style w:type="paragraph" w:styleId="12">
    <w:name w:val="toa heading"/>
    <w:basedOn w:val="1"/>
    <w:next w:val="1"/>
    <w:autoRedefine/>
    <w:semiHidden/>
    <w:qFormat/>
    <w:uiPriority w:val="0"/>
    <w:pPr>
      <w:spacing w:before="120"/>
    </w:pPr>
    <w:rPr>
      <w:rFonts w:ascii="Arial" w:hAnsi="Arial" w:cs="Arial"/>
      <w:sz w:val="24"/>
    </w:rPr>
  </w:style>
  <w:style w:type="paragraph" w:styleId="13">
    <w:name w:val="annotation text"/>
    <w:basedOn w:val="1"/>
    <w:link w:val="91"/>
    <w:autoRedefine/>
    <w:qFormat/>
    <w:uiPriority w:val="99"/>
    <w:pPr>
      <w:jc w:val="left"/>
    </w:pPr>
  </w:style>
  <w:style w:type="paragraph" w:styleId="14">
    <w:name w:val="Body Text 3"/>
    <w:basedOn w:val="1"/>
    <w:autoRedefine/>
    <w:qFormat/>
    <w:uiPriority w:val="0"/>
    <w:rPr>
      <w:sz w:val="24"/>
    </w:rPr>
  </w:style>
  <w:style w:type="paragraph" w:styleId="15">
    <w:name w:val="Body Text"/>
    <w:basedOn w:val="1"/>
    <w:next w:val="1"/>
    <w:link w:val="63"/>
    <w:autoRedefine/>
    <w:qFormat/>
    <w:uiPriority w:val="99"/>
    <w:rPr>
      <w:rFonts w:ascii="金山简黑体" w:hAnsi="金山简黑体" w:eastAsia="金山简黑体"/>
      <w:b/>
      <w:spacing w:val="-8"/>
      <w:sz w:val="44"/>
      <w:szCs w:val="20"/>
    </w:rPr>
  </w:style>
  <w:style w:type="paragraph" w:styleId="16">
    <w:name w:val="Body Text Indent"/>
    <w:basedOn w:val="1"/>
    <w:next w:val="17"/>
    <w:autoRedefine/>
    <w:qFormat/>
    <w:uiPriority w:val="0"/>
    <w:pPr>
      <w:spacing w:line="200" w:lineRule="exact"/>
      <w:ind w:firstLine="301"/>
    </w:pPr>
    <w:rPr>
      <w:rFonts w:ascii="宋体"/>
      <w:spacing w:val="-4"/>
      <w:sz w:val="18"/>
      <w:szCs w:val="20"/>
    </w:rPr>
  </w:style>
  <w:style w:type="paragraph" w:styleId="17">
    <w:name w:val="Body Text First Indent 2"/>
    <w:basedOn w:val="16"/>
    <w:next w:val="18"/>
    <w:autoRedefine/>
    <w:qFormat/>
    <w:uiPriority w:val="0"/>
    <w:pPr>
      <w:spacing w:line="460" w:lineRule="exact"/>
      <w:ind w:firstLine="420"/>
    </w:pPr>
    <w:rPr>
      <w:rFonts w:ascii="Calibri" w:hAnsi="宋体"/>
      <w:szCs w:val="22"/>
    </w:rPr>
  </w:style>
  <w:style w:type="paragraph" w:styleId="18">
    <w:name w:val="Body Text First Indent"/>
    <w:basedOn w:val="15"/>
    <w:next w:val="1"/>
    <w:qFormat/>
    <w:uiPriority w:val="0"/>
    <w:pPr>
      <w:spacing w:after="120"/>
      <w:ind w:firstLine="420" w:firstLineChars="100"/>
    </w:pPr>
  </w:style>
  <w:style w:type="paragraph" w:styleId="19">
    <w:name w:val="toc 5"/>
    <w:basedOn w:val="1"/>
    <w:next w:val="1"/>
    <w:autoRedefine/>
    <w:qFormat/>
    <w:uiPriority w:val="39"/>
    <w:pPr>
      <w:ind w:left="840"/>
      <w:jc w:val="left"/>
    </w:pPr>
    <w:rPr>
      <w:rFonts w:ascii="等线" w:eastAsia="等线"/>
      <w:sz w:val="18"/>
      <w:szCs w:val="18"/>
    </w:rPr>
  </w:style>
  <w:style w:type="paragraph" w:styleId="20">
    <w:name w:val="toc 3"/>
    <w:basedOn w:val="1"/>
    <w:next w:val="1"/>
    <w:autoRedefine/>
    <w:qFormat/>
    <w:uiPriority w:val="39"/>
    <w:pPr>
      <w:ind w:left="420"/>
      <w:jc w:val="left"/>
    </w:pPr>
    <w:rPr>
      <w:rFonts w:ascii="等线" w:eastAsia="等线"/>
      <w:i/>
      <w:iCs/>
      <w:sz w:val="20"/>
      <w:szCs w:val="20"/>
    </w:rPr>
  </w:style>
  <w:style w:type="paragraph" w:styleId="21">
    <w:name w:val="Plain Text"/>
    <w:basedOn w:val="1"/>
    <w:link w:val="84"/>
    <w:autoRedefine/>
    <w:qFormat/>
    <w:uiPriority w:val="0"/>
    <w:rPr>
      <w:rFonts w:ascii="宋体"/>
      <w:szCs w:val="20"/>
    </w:rPr>
  </w:style>
  <w:style w:type="paragraph" w:styleId="22">
    <w:name w:val="toc 8"/>
    <w:basedOn w:val="1"/>
    <w:next w:val="1"/>
    <w:autoRedefine/>
    <w:qFormat/>
    <w:uiPriority w:val="39"/>
    <w:pPr>
      <w:ind w:left="1470"/>
      <w:jc w:val="left"/>
    </w:pPr>
    <w:rPr>
      <w:rFonts w:ascii="等线" w:eastAsia="等线"/>
      <w:sz w:val="18"/>
      <w:szCs w:val="18"/>
    </w:rPr>
  </w:style>
  <w:style w:type="paragraph" w:styleId="23">
    <w:name w:val="Date"/>
    <w:basedOn w:val="1"/>
    <w:next w:val="1"/>
    <w:link w:val="86"/>
    <w:autoRedefine/>
    <w:qFormat/>
    <w:uiPriority w:val="99"/>
    <w:rPr>
      <w:b/>
      <w:sz w:val="28"/>
      <w:szCs w:val="22"/>
    </w:rPr>
  </w:style>
  <w:style w:type="paragraph" w:styleId="24">
    <w:name w:val="Body Text Indent 2"/>
    <w:basedOn w:val="1"/>
    <w:autoRedefine/>
    <w:qFormat/>
    <w:uiPriority w:val="0"/>
    <w:pPr>
      <w:spacing w:after="120" w:line="480" w:lineRule="auto"/>
      <w:ind w:left="200" w:leftChars="200"/>
    </w:pPr>
  </w:style>
  <w:style w:type="paragraph" w:styleId="25">
    <w:name w:val="Balloon Text"/>
    <w:basedOn w:val="1"/>
    <w:link w:val="87"/>
    <w:autoRedefine/>
    <w:qFormat/>
    <w:uiPriority w:val="0"/>
    <w:rPr>
      <w:sz w:val="18"/>
      <w:szCs w:val="18"/>
    </w:rPr>
  </w:style>
  <w:style w:type="paragraph" w:styleId="26">
    <w:name w:val="footer"/>
    <w:basedOn w:val="1"/>
    <w:link w:val="62"/>
    <w:autoRedefine/>
    <w:qFormat/>
    <w:uiPriority w:val="0"/>
    <w:pPr>
      <w:tabs>
        <w:tab w:val="center" w:pos="4153"/>
        <w:tab w:val="right" w:pos="8306"/>
      </w:tabs>
      <w:snapToGrid w:val="0"/>
      <w:jc w:val="left"/>
    </w:pPr>
    <w:rPr>
      <w:rFonts w:ascii="宋体"/>
      <w:sz w:val="18"/>
      <w:szCs w:val="20"/>
    </w:rPr>
  </w:style>
  <w:style w:type="paragraph" w:styleId="27">
    <w:name w:val="envelope return"/>
    <w:basedOn w:val="1"/>
    <w:qFormat/>
    <w:uiPriority w:val="0"/>
    <w:pPr>
      <w:snapToGrid w:val="0"/>
    </w:pPr>
    <w:rPr>
      <w:rFonts w:ascii="Arial" w:hAnsi="Arial"/>
    </w:rPr>
  </w:style>
  <w:style w:type="paragraph" w:styleId="28">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29">
    <w:name w:val="toc 1"/>
    <w:basedOn w:val="1"/>
    <w:next w:val="1"/>
    <w:autoRedefine/>
    <w:qFormat/>
    <w:uiPriority w:val="39"/>
    <w:pPr>
      <w:spacing w:before="120" w:after="120"/>
      <w:jc w:val="left"/>
    </w:pPr>
    <w:rPr>
      <w:rFonts w:ascii="等线" w:eastAsia="等线"/>
      <w:b/>
      <w:bCs/>
      <w:caps/>
      <w:sz w:val="20"/>
      <w:szCs w:val="20"/>
    </w:rPr>
  </w:style>
  <w:style w:type="paragraph" w:styleId="30">
    <w:name w:val="toc 4"/>
    <w:basedOn w:val="1"/>
    <w:next w:val="1"/>
    <w:autoRedefine/>
    <w:qFormat/>
    <w:uiPriority w:val="39"/>
    <w:pPr>
      <w:ind w:left="630"/>
      <w:jc w:val="left"/>
    </w:pPr>
    <w:rPr>
      <w:rFonts w:ascii="等线" w:eastAsia="等线"/>
      <w:sz w:val="18"/>
      <w:szCs w:val="18"/>
    </w:rPr>
  </w:style>
  <w:style w:type="paragraph" w:styleId="31">
    <w:name w:val="toc 6"/>
    <w:basedOn w:val="1"/>
    <w:next w:val="1"/>
    <w:autoRedefine/>
    <w:qFormat/>
    <w:uiPriority w:val="39"/>
    <w:pPr>
      <w:ind w:left="1050"/>
      <w:jc w:val="left"/>
    </w:pPr>
    <w:rPr>
      <w:rFonts w:ascii="等线" w:eastAsia="等线"/>
      <w:sz w:val="18"/>
      <w:szCs w:val="18"/>
    </w:rPr>
  </w:style>
  <w:style w:type="paragraph" w:styleId="32">
    <w:name w:val="Body Text Indent 3"/>
    <w:basedOn w:val="1"/>
    <w:autoRedefine/>
    <w:qFormat/>
    <w:uiPriority w:val="0"/>
    <w:pPr>
      <w:spacing w:line="400" w:lineRule="exact"/>
      <w:ind w:left="360"/>
    </w:pPr>
    <w:rPr>
      <w:sz w:val="24"/>
    </w:rPr>
  </w:style>
  <w:style w:type="paragraph" w:styleId="33">
    <w:name w:val="toc 2"/>
    <w:basedOn w:val="1"/>
    <w:next w:val="1"/>
    <w:autoRedefine/>
    <w:qFormat/>
    <w:uiPriority w:val="39"/>
    <w:pPr>
      <w:ind w:left="210"/>
      <w:jc w:val="left"/>
    </w:pPr>
    <w:rPr>
      <w:rFonts w:ascii="等线" w:eastAsia="等线"/>
      <w:smallCaps/>
      <w:sz w:val="20"/>
      <w:szCs w:val="20"/>
    </w:rPr>
  </w:style>
  <w:style w:type="paragraph" w:styleId="34">
    <w:name w:val="toc 9"/>
    <w:basedOn w:val="1"/>
    <w:next w:val="1"/>
    <w:autoRedefine/>
    <w:qFormat/>
    <w:uiPriority w:val="39"/>
    <w:pPr>
      <w:ind w:left="1680"/>
      <w:jc w:val="left"/>
    </w:pPr>
    <w:rPr>
      <w:rFonts w:ascii="等线" w:eastAsia="等线"/>
      <w:sz w:val="18"/>
      <w:szCs w:val="18"/>
    </w:rPr>
  </w:style>
  <w:style w:type="paragraph" w:styleId="35">
    <w:name w:val="Body Text 2"/>
    <w:basedOn w:val="1"/>
    <w:autoRedefine/>
    <w:qFormat/>
    <w:uiPriority w:val="0"/>
    <w:rPr>
      <w:rFonts w:ascii="宋体"/>
      <w:sz w:val="13"/>
      <w:szCs w:val="20"/>
    </w:rPr>
  </w:style>
  <w:style w:type="paragraph" w:styleId="36">
    <w:name w:val="Message Header"/>
    <w:basedOn w:val="1"/>
    <w:autoRedefine/>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37">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paragraph" w:styleId="38">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39">
    <w:name w:val="index 1"/>
    <w:basedOn w:val="1"/>
    <w:next w:val="1"/>
    <w:autoRedefine/>
    <w:qFormat/>
    <w:uiPriority w:val="0"/>
  </w:style>
  <w:style w:type="paragraph" w:styleId="40">
    <w:name w:val="Title"/>
    <w:basedOn w:val="1"/>
    <w:next w:val="1"/>
    <w:qFormat/>
    <w:uiPriority w:val="0"/>
    <w:pPr>
      <w:spacing w:before="240" w:after="60"/>
      <w:jc w:val="center"/>
      <w:outlineLvl w:val="0"/>
    </w:pPr>
    <w:rPr>
      <w:rFonts w:ascii="Cambria" w:hAnsi="Cambria"/>
      <w:b/>
      <w:bCs/>
      <w:sz w:val="32"/>
      <w:szCs w:val="32"/>
    </w:rPr>
  </w:style>
  <w:style w:type="paragraph" w:styleId="41">
    <w:name w:val="annotation subject"/>
    <w:basedOn w:val="13"/>
    <w:next w:val="13"/>
    <w:link w:val="74"/>
    <w:autoRedefine/>
    <w:qFormat/>
    <w:uiPriority w:val="0"/>
    <w:rPr>
      <w:b/>
      <w:bCs/>
    </w:rPr>
  </w:style>
  <w:style w:type="table" w:styleId="43">
    <w:name w:val="Table Grid"/>
    <w:basedOn w:val="42"/>
    <w:autoRedefine/>
    <w:qFormat/>
    <w:uiPriority w:val="0"/>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4">
    <w:name w:val="Table Grid 5"/>
    <w:basedOn w:val="42"/>
    <w:autoRedefine/>
    <w:qFormat/>
    <w:uiPriority w:val="0"/>
    <w:pPr>
      <w:widowControl w:val="0"/>
      <w:jc w:val="both"/>
    </w:pPr>
    <w:tblP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
    <w:tcPr>
      <w:shd w:val="clear" w:color="auto" w:fill="auto"/>
    </w:tcPr>
    <w:tblStylePr w:type="firstRow">
      <w:tblPr/>
      <w:tcPr>
        <w:tcBorders>
          <w:top w:val="nil"/>
          <w:left w:val="nil"/>
          <w:bottom w:val="single" w:color="auto" w:sz="12" w:space="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auto" w:sz="6" w:space="0"/>
          <w:tr2bl w:val="nil"/>
        </w:tcBorders>
      </w:tcPr>
    </w:tblStylePr>
  </w:style>
  <w:style w:type="character" w:styleId="46">
    <w:name w:val="Strong"/>
    <w:basedOn w:val="45"/>
    <w:qFormat/>
    <w:uiPriority w:val="0"/>
    <w:rPr>
      <w:b/>
    </w:rPr>
  </w:style>
  <w:style w:type="character" w:styleId="47">
    <w:name w:val="page number"/>
    <w:autoRedefine/>
    <w:qFormat/>
    <w:uiPriority w:val="0"/>
    <w:rPr>
      <w:rFonts w:ascii="Times New Roman" w:hAnsi="Times New Roman" w:eastAsia="宋体" w:cs="Times New Roman"/>
      <w:lang w:val="en-US" w:eastAsia="zh-CN" w:bidi="ar-SA"/>
    </w:rPr>
  </w:style>
  <w:style w:type="character" w:styleId="48">
    <w:name w:val="FollowedHyperlink"/>
    <w:autoRedefine/>
    <w:qFormat/>
    <w:uiPriority w:val="0"/>
    <w:rPr>
      <w:rFonts w:ascii="Times New Roman" w:hAnsi="Times New Roman" w:eastAsia="宋体" w:cs="Times New Roman"/>
      <w:color w:val="800080"/>
      <w:u w:val="single"/>
      <w:lang w:val="en-US" w:eastAsia="zh-CN" w:bidi="ar-SA"/>
    </w:rPr>
  </w:style>
  <w:style w:type="character" w:styleId="49">
    <w:name w:val="Hyperlink"/>
    <w:autoRedefine/>
    <w:qFormat/>
    <w:uiPriority w:val="99"/>
    <w:rPr>
      <w:rFonts w:ascii="Times New Roman" w:hAnsi="Times New Roman" w:eastAsia="宋体" w:cs="Times New Roman"/>
      <w:color w:val="0000FF"/>
      <w:u w:val="single"/>
      <w:lang w:val="en-US" w:eastAsia="zh-CN" w:bidi="ar-SA"/>
    </w:rPr>
  </w:style>
  <w:style w:type="character" w:styleId="50">
    <w:name w:val="HTML Code"/>
    <w:basedOn w:val="45"/>
    <w:semiHidden/>
    <w:unhideWhenUsed/>
    <w:qFormat/>
    <w:uiPriority w:val="99"/>
    <w:rPr>
      <w:rFonts w:ascii="Courier New" w:hAnsi="Courier New"/>
      <w:sz w:val="20"/>
    </w:rPr>
  </w:style>
  <w:style w:type="character" w:styleId="51">
    <w:name w:val="annotation reference"/>
    <w:autoRedefine/>
    <w:qFormat/>
    <w:uiPriority w:val="99"/>
    <w:rPr>
      <w:rFonts w:ascii="Times New Roman" w:hAnsi="Times New Roman" w:eastAsia="宋体" w:cs="Times New Roman"/>
      <w:sz w:val="21"/>
      <w:szCs w:val="21"/>
      <w:lang w:val="en-US" w:eastAsia="zh-CN" w:bidi="ar-SA"/>
    </w:rPr>
  </w:style>
  <w:style w:type="character" w:styleId="52">
    <w:name w:val="HTML Sample"/>
    <w:basedOn w:val="45"/>
    <w:qFormat/>
    <w:uiPriority w:val="0"/>
    <w:rPr>
      <w:rFonts w:ascii="Courier New" w:hAnsi="Courier New"/>
    </w:rPr>
  </w:style>
  <w:style w:type="paragraph" w:customStyle="1" w:styleId="53">
    <w:name w:val="Default"/>
    <w:basedOn w:val="54"/>
    <w:autoRedefine/>
    <w:qFormat/>
    <w:uiPriority w:val="0"/>
    <w:pPr>
      <w:autoSpaceDE w:val="0"/>
      <w:autoSpaceDN w:val="0"/>
      <w:adjustRightInd w:val="0"/>
    </w:pPr>
    <w:rPr>
      <w:rFonts w:hAnsi="Times New Roman" w:cs="宋体"/>
      <w:color w:val="000000"/>
      <w:sz w:val="24"/>
      <w:szCs w:val="24"/>
    </w:rPr>
  </w:style>
  <w:style w:type="paragraph" w:customStyle="1" w:styleId="54">
    <w:name w:val="Plain Text1"/>
    <w:basedOn w:val="1"/>
    <w:qFormat/>
    <w:uiPriority w:val="0"/>
    <w:rPr>
      <w:rFonts w:ascii="宋体" w:hAnsi="Courier New" w:cs="黑体"/>
      <w:szCs w:val="22"/>
    </w:rPr>
  </w:style>
  <w:style w:type="paragraph" w:customStyle="1" w:styleId="55">
    <w:name w:val="一级条标题"/>
    <w:basedOn w:val="56"/>
    <w:next w:val="57"/>
    <w:qFormat/>
    <w:uiPriority w:val="0"/>
    <w:pPr>
      <w:spacing w:beforeLines="0" w:afterLines="0"/>
      <w:ind w:left="1035" w:hanging="570"/>
      <w:outlineLvl w:val="2"/>
    </w:pPr>
  </w:style>
  <w:style w:type="paragraph" w:customStyle="1" w:styleId="56">
    <w:name w:val="章标题"/>
    <w:basedOn w:val="1"/>
    <w:next w:val="1"/>
    <w:qFormat/>
    <w:uiPriority w:val="0"/>
    <w:pPr>
      <w:spacing w:beforeLines="50" w:afterLines="50"/>
      <w:outlineLvl w:val="1"/>
    </w:pPr>
    <w:rPr>
      <w:rFonts w:ascii="黑体" w:hAnsi="Calibri" w:eastAsia="黑体" w:cs="宋体"/>
    </w:rPr>
  </w:style>
  <w:style w:type="paragraph" w:customStyle="1" w:styleId="57">
    <w:name w:val="段"/>
    <w:basedOn w:val="1"/>
    <w:next w:val="1"/>
    <w:qFormat/>
    <w:uiPriority w:val="0"/>
    <w:pPr>
      <w:autoSpaceDE w:val="0"/>
      <w:autoSpaceDN w:val="0"/>
      <w:ind w:firstLine="200" w:firstLineChars="200"/>
    </w:pPr>
    <w:rPr>
      <w:rFonts w:ascii="宋体" w:hAnsi="宋体" w:cs="宋体"/>
    </w:rPr>
  </w:style>
  <w:style w:type="paragraph" w:customStyle="1" w:styleId="58">
    <w:name w:val="Normal_1"/>
    <w:autoRedefine/>
    <w:qFormat/>
    <w:uiPriority w:val="0"/>
    <w:rPr>
      <w:rFonts w:ascii="Times New Roman" w:hAnsi="Times New Roman" w:eastAsia="Times New Roman" w:cs="Times New Roman"/>
      <w:sz w:val="24"/>
      <w:szCs w:val="24"/>
      <w:lang w:val="en-US" w:eastAsia="zh-CN" w:bidi="ar-SA"/>
    </w:rPr>
  </w:style>
  <w:style w:type="paragraph" w:customStyle="1" w:styleId="59">
    <w:name w:val="列出段落1"/>
    <w:basedOn w:val="1"/>
    <w:autoRedefine/>
    <w:qFormat/>
    <w:uiPriority w:val="0"/>
    <w:pPr>
      <w:ind w:firstLine="420" w:firstLineChars="200"/>
    </w:pPr>
    <w:rPr>
      <w:rFonts w:ascii="Calibri" w:hAnsi="Calibri"/>
      <w:szCs w:val="22"/>
    </w:rPr>
  </w:style>
  <w:style w:type="paragraph" w:customStyle="1" w:styleId="60">
    <w:name w:val="表格文字"/>
    <w:basedOn w:val="1"/>
    <w:autoRedefine/>
    <w:qFormat/>
    <w:uiPriority w:val="0"/>
    <w:pPr>
      <w:jc w:val="center"/>
    </w:pPr>
    <w:rPr>
      <w:rFonts w:ascii="宋体" w:hAnsi="宋体"/>
      <w:color w:val="000000"/>
      <w:sz w:val="24"/>
    </w:rPr>
  </w:style>
  <w:style w:type="paragraph" w:styleId="61">
    <w:name w:val="Intense Quote"/>
    <w:next w:val="1"/>
    <w:autoRedefine/>
    <w:qFormat/>
    <w:uiPriority w:val="0"/>
    <w:pPr>
      <w:wordWrap w:val="0"/>
      <w:spacing w:before="360" w:after="360"/>
      <w:ind w:left="950" w:right="950"/>
      <w:jc w:val="center"/>
    </w:pPr>
    <w:rPr>
      <w:rFonts w:ascii="Times New Roman" w:hAnsi="Times New Roman" w:eastAsia="宋体" w:cs="Times New Roman"/>
      <w:i/>
      <w:sz w:val="21"/>
      <w:lang w:val="en-US" w:eastAsia="zh-CN" w:bidi="ar-SA"/>
    </w:rPr>
  </w:style>
  <w:style w:type="character" w:customStyle="1" w:styleId="62">
    <w:name w:val="页脚 字符"/>
    <w:link w:val="26"/>
    <w:autoRedefine/>
    <w:qFormat/>
    <w:uiPriority w:val="0"/>
    <w:rPr>
      <w:rFonts w:ascii="宋体" w:hAnsi="Times New Roman" w:eastAsia="宋体" w:cs="Times New Roman"/>
      <w:kern w:val="2"/>
      <w:sz w:val="18"/>
      <w:lang w:val="en-US" w:eastAsia="zh-CN" w:bidi="ar-SA"/>
    </w:rPr>
  </w:style>
  <w:style w:type="character" w:customStyle="1" w:styleId="63">
    <w:name w:val="正文文本 字符"/>
    <w:link w:val="15"/>
    <w:autoRedefine/>
    <w:qFormat/>
    <w:uiPriority w:val="99"/>
    <w:rPr>
      <w:rFonts w:ascii="金山简黑体" w:hAnsi="金山简黑体" w:eastAsia="金山简黑体" w:cs="Times New Roman"/>
      <w:b/>
      <w:spacing w:val="-8"/>
      <w:kern w:val="2"/>
      <w:sz w:val="44"/>
      <w:lang w:val="en-US" w:eastAsia="zh-CN" w:bidi="ar-SA"/>
    </w:rPr>
  </w:style>
  <w:style w:type="character" w:customStyle="1" w:styleId="64">
    <w:name w:val="标题 3 Char"/>
    <w:autoRedefine/>
    <w:qFormat/>
    <w:uiPriority w:val="0"/>
    <w:rPr>
      <w:rFonts w:ascii="Arial" w:hAnsi="Arial" w:eastAsia="黑体" w:cs="Times New Roman"/>
      <w:b/>
      <w:sz w:val="28"/>
      <w:lang w:val="en-US" w:eastAsia="zh-CN" w:bidi="ar-SA"/>
    </w:rPr>
  </w:style>
  <w:style w:type="character" w:customStyle="1" w:styleId="65">
    <w:name w:val="NormalCharacter"/>
    <w:autoRedefine/>
    <w:qFormat/>
    <w:uiPriority w:val="0"/>
    <w:rPr>
      <w:rFonts w:ascii="Calibri" w:hAnsi="Calibri" w:eastAsia="宋体" w:cs="Times New Roman"/>
      <w:kern w:val="2"/>
      <w:sz w:val="21"/>
      <w:szCs w:val="24"/>
      <w:lang w:val="en-US" w:eastAsia="zh-CN" w:bidi="ar-SA"/>
    </w:rPr>
  </w:style>
  <w:style w:type="character" w:customStyle="1" w:styleId="66">
    <w:name w:val="apple-converted-space"/>
    <w:autoRedefine/>
    <w:qFormat/>
    <w:uiPriority w:val="0"/>
    <w:rPr>
      <w:rFonts w:ascii="Times New Roman" w:hAnsi="Times New Roman" w:eastAsia="宋体" w:cs="Times New Roman"/>
      <w:lang w:val="en-US" w:eastAsia="zh-CN" w:bidi="ar-SA"/>
    </w:rPr>
  </w:style>
  <w:style w:type="character" w:customStyle="1" w:styleId="67">
    <w:name w:val="ft1"/>
    <w:autoRedefine/>
    <w:qFormat/>
    <w:uiPriority w:val="0"/>
    <w:rPr>
      <w:rFonts w:ascii="Times New Roman" w:hAnsi="Times New Roman" w:eastAsia="宋体" w:cs="Times New Roman"/>
      <w:lang w:val="en-US" w:eastAsia="zh-CN" w:bidi="ar-SA"/>
    </w:rPr>
  </w:style>
  <w:style w:type="character" w:customStyle="1" w:styleId="68">
    <w:name w:val="grame"/>
    <w:autoRedefine/>
    <w:qFormat/>
    <w:uiPriority w:val="0"/>
    <w:rPr>
      <w:rFonts w:ascii="Times New Roman" w:hAnsi="Times New Roman" w:eastAsia="宋体" w:cs="Times New Roman"/>
      <w:lang w:val="en-US" w:eastAsia="zh-CN" w:bidi="ar-SA"/>
    </w:rPr>
  </w:style>
  <w:style w:type="character" w:customStyle="1" w:styleId="69">
    <w:name w:val="普通文字1 Char2"/>
    <w:autoRedefine/>
    <w:qFormat/>
    <w:uiPriority w:val="0"/>
    <w:rPr>
      <w:rFonts w:ascii="宋体" w:hAnsi="Times New Roman" w:eastAsia="宋体" w:cs="Times New Roman"/>
      <w:kern w:val="2"/>
      <w:sz w:val="21"/>
      <w:lang w:val="en-US" w:eastAsia="zh-CN" w:bidi="ar-SA"/>
    </w:rPr>
  </w:style>
  <w:style w:type="character" w:customStyle="1" w:styleId="70">
    <w:name w:val="未处理的提及2"/>
    <w:autoRedefine/>
    <w:qFormat/>
    <w:uiPriority w:val="0"/>
    <w:rPr>
      <w:rFonts w:ascii="Times New Roman" w:hAnsi="Times New Roman" w:eastAsia="宋体" w:cs="Times New Roman"/>
      <w:color w:val="605E5C"/>
      <w:shd w:val="clear" w:color="auto" w:fill="E1DFDD"/>
      <w:lang w:val="en-US" w:eastAsia="zh-CN" w:bidi="ar-SA"/>
    </w:rPr>
  </w:style>
  <w:style w:type="character" w:customStyle="1" w:styleId="71">
    <w:name w:val="纯文本 Char1"/>
    <w:autoRedefine/>
    <w:qFormat/>
    <w:uiPriority w:val="0"/>
    <w:rPr>
      <w:rFonts w:ascii="宋体" w:hAnsi="宋体" w:eastAsia="宋体" w:cs="Times New Roman"/>
      <w:kern w:val="2"/>
      <w:sz w:val="21"/>
      <w:lang w:val="en-US" w:eastAsia="zh-CN" w:bidi="ar-SA"/>
    </w:rPr>
  </w:style>
  <w:style w:type="character" w:customStyle="1" w:styleId="72">
    <w:name w:val="标题 5 字符"/>
    <w:link w:val="6"/>
    <w:autoRedefine/>
    <w:semiHidden/>
    <w:qFormat/>
    <w:uiPriority w:val="9"/>
    <w:rPr>
      <w:rFonts w:ascii="Times New Roman" w:hAnsi="Times New Roman" w:eastAsia="宋体" w:cs="Times New Roman"/>
      <w:b/>
      <w:bCs/>
      <w:kern w:val="2"/>
      <w:sz w:val="28"/>
      <w:szCs w:val="28"/>
      <w:lang w:val="en-US" w:eastAsia="zh-CN" w:bidi="ar-SA"/>
    </w:rPr>
  </w:style>
  <w:style w:type="character" w:customStyle="1" w:styleId="73">
    <w:name w:val="正文缩进 Char1"/>
    <w:autoRedefine/>
    <w:qFormat/>
    <w:uiPriority w:val="0"/>
    <w:rPr>
      <w:rFonts w:ascii="Times New Roman" w:hAnsi="Times New Roman" w:eastAsia="宋体" w:cs="Times New Roman"/>
      <w:kern w:val="2"/>
      <w:sz w:val="21"/>
      <w:lang w:val="en-US" w:eastAsia="zh-CN" w:bidi="ar-SA"/>
    </w:rPr>
  </w:style>
  <w:style w:type="character" w:customStyle="1" w:styleId="74">
    <w:name w:val="批注主题 字符"/>
    <w:link w:val="41"/>
    <w:autoRedefine/>
    <w:qFormat/>
    <w:uiPriority w:val="0"/>
    <w:rPr>
      <w:rFonts w:ascii="Times New Roman" w:hAnsi="Times New Roman" w:eastAsia="宋体" w:cs="Times New Roman"/>
      <w:b/>
      <w:bCs/>
      <w:kern w:val="2"/>
      <w:sz w:val="21"/>
      <w:szCs w:val="24"/>
      <w:lang w:val="en-US" w:eastAsia="zh-CN" w:bidi="ar-SA"/>
    </w:rPr>
  </w:style>
  <w:style w:type="character" w:customStyle="1" w:styleId="75">
    <w:name w:val="标题 2 字符"/>
    <w:autoRedefine/>
    <w:qFormat/>
    <w:uiPriority w:val="0"/>
    <w:rPr>
      <w:rFonts w:ascii="Times New Roman" w:hAnsi="Times New Roman" w:eastAsia="黑体" w:cs="Times New Roman"/>
      <w:b/>
      <w:sz w:val="28"/>
      <w:lang w:val="en-US" w:eastAsia="zh-CN" w:bidi="ar-SA"/>
    </w:rPr>
  </w:style>
  <w:style w:type="character" w:customStyle="1" w:styleId="76">
    <w:name w:val="未处理的提及1"/>
    <w:autoRedefine/>
    <w:qFormat/>
    <w:uiPriority w:val="0"/>
    <w:rPr>
      <w:rFonts w:ascii="Times New Roman" w:hAnsi="Times New Roman" w:eastAsia="宋体" w:cs="Times New Roman"/>
      <w:color w:val="605E5C"/>
      <w:shd w:val="clear" w:color="auto" w:fill="E1DFDD"/>
      <w:lang w:val="en-US" w:eastAsia="zh-CN" w:bidi="ar-SA"/>
    </w:rPr>
  </w:style>
  <w:style w:type="character" w:customStyle="1" w:styleId="77">
    <w:name w:val="未处理的提及3"/>
    <w:autoRedefine/>
    <w:unhideWhenUsed/>
    <w:qFormat/>
    <w:uiPriority w:val="99"/>
    <w:rPr>
      <w:rFonts w:ascii="Times New Roman" w:hAnsi="Times New Roman" w:eastAsia="宋体" w:cs="Times New Roman"/>
      <w:color w:val="605E5C"/>
      <w:shd w:val="clear" w:color="auto" w:fill="E1DFDD"/>
      <w:lang w:val="en-US" w:eastAsia="zh-CN" w:bidi="ar-SA"/>
    </w:rPr>
  </w:style>
  <w:style w:type="character" w:customStyle="1" w:styleId="78">
    <w:name w:val="列表段落 字符"/>
    <w:link w:val="79"/>
    <w:autoRedefine/>
    <w:qFormat/>
    <w:uiPriority w:val="0"/>
    <w:rPr>
      <w:rFonts w:ascii="Calibri" w:hAnsi="Calibri" w:eastAsia="宋体" w:cs="Times New Roman"/>
      <w:kern w:val="2"/>
      <w:sz w:val="21"/>
      <w:szCs w:val="22"/>
      <w:lang w:val="en-US" w:eastAsia="zh-CN" w:bidi="ar-SA"/>
    </w:rPr>
  </w:style>
  <w:style w:type="paragraph" w:styleId="79">
    <w:name w:val="List Paragraph"/>
    <w:basedOn w:val="1"/>
    <w:link w:val="78"/>
    <w:autoRedefine/>
    <w:qFormat/>
    <w:uiPriority w:val="34"/>
    <w:pPr>
      <w:ind w:firstLine="420" w:firstLineChars="200"/>
    </w:pPr>
    <w:rPr>
      <w:rFonts w:ascii="Calibri" w:hAnsi="Calibri"/>
      <w:szCs w:val="22"/>
    </w:rPr>
  </w:style>
  <w:style w:type="character" w:customStyle="1" w:styleId="80">
    <w:name w:val="标题 2 字符1"/>
    <w:autoRedefine/>
    <w:qFormat/>
    <w:uiPriority w:val="0"/>
    <w:rPr>
      <w:rFonts w:ascii="Times New Roman" w:hAnsi="Times New Roman" w:eastAsia="黑体" w:cs="Times New Roman"/>
      <w:b/>
      <w:sz w:val="28"/>
      <w:lang w:val="en-US" w:eastAsia="zh-CN" w:bidi="ar-SA"/>
    </w:rPr>
  </w:style>
  <w:style w:type="character" w:customStyle="1" w:styleId="81">
    <w:name w:val="标题 3 字符"/>
    <w:link w:val="4"/>
    <w:autoRedefine/>
    <w:qFormat/>
    <w:uiPriority w:val="0"/>
    <w:rPr>
      <w:rFonts w:eastAsia="黑体"/>
      <w:b/>
      <w:sz w:val="28"/>
    </w:rPr>
  </w:style>
  <w:style w:type="character" w:customStyle="1" w:styleId="82">
    <w:name w:val="标题 6 字符"/>
    <w:link w:val="7"/>
    <w:autoRedefine/>
    <w:semiHidden/>
    <w:qFormat/>
    <w:uiPriority w:val="9"/>
    <w:rPr>
      <w:rFonts w:ascii="等线 Light" w:hAnsi="等线 Light" w:eastAsia="等线 Light" w:cs="Times New Roman"/>
      <w:b/>
      <w:bCs/>
      <w:kern w:val="2"/>
      <w:sz w:val="24"/>
      <w:szCs w:val="24"/>
      <w:lang w:val="en-US" w:eastAsia="zh-CN" w:bidi="ar-SA"/>
    </w:rPr>
  </w:style>
  <w:style w:type="character" w:customStyle="1" w:styleId="83">
    <w:name w:val="正文缩进 字符"/>
    <w:link w:val="10"/>
    <w:autoRedefine/>
    <w:qFormat/>
    <w:uiPriority w:val="0"/>
    <w:rPr>
      <w:rFonts w:ascii="Times New Roman" w:hAnsi="Times New Roman" w:eastAsia="宋体" w:cs="Times New Roman"/>
      <w:kern w:val="2"/>
      <w:sz w:val="21"/>
      <w:lang w:val="en-US" w:eastAsia="zh-CN" w:bidi="ar-SA"/>
    </w:rPr>
  </w:style>
  <w:style w:type="character" w:customStyle="1" w:styleId="84">
    <w:name w:val="纯文本 字符1"/>
    <w:link w:val="21"/>
    <w:autoRedefine/>
    <w:qFormat/>
    <w:uiPriority w:val="0"/>
    <w:rPr>
      <w:rFonts w:ascii="宋体" w:hAnsi="Times New Roman" w:eastAsia="宋体" w:cs="Times New Roman"/>
      <w:kern w:val="2"/>
      <w:sz w:val="21"/>
      <w:lang w:val="en-US" w:eastAsia="zh-CN" w:bidi="ar-SA"/>
    </w:rPr>
  </w:style>
  <w:style w:type="character" w:customStyle="1" w:styleId="85">
    <w:name w:val="font21"/>
    <w:autoRedefine/>
    <w:qFormat/>
    <w:uiPriority w:val="0"/>
    <w:rPr>
      <w:rFonts w:hint="eastAsia" w:ascii="宋体" w:hAnsi="宋体" w:eastAsia="宋体" w:cs="Times New Roman"/>
      <w:b/>
      <w:bCs/>
      <w:color w:val="000000"/>
      <w:sz w:val="18"/>
      <w:szCs w:val="18"/>
      <w:u w:val="none"/>
      <w:lang w:val="en-US" w:eastAsia="zh-CN" w:bidi="ar-SA"/>
    </w:rPr>
  </w:style>
  <w:style w:type="character" w:customStyle="1" w:styleId="86">
    <w:name w:val="日期 字符"/>
    <w:link w:val="23"/>
    <w:autoRedefine/>
    <w:qFormat/>
    <w:uiPriority w:val="99"/>
    <w:rPr>
      <w:rFonts w:ascii="Times New Roman" w:hAnsi="Times New Roman" w:eastAsia="宋体" w:cs="Times New Roman"/>
      <w:b/>
      <w:kern w:val="2"/>
      <w:sz w:val="28"/>
      <w:szCs w:val="22"/>
      <w:lang w:val="en-US" w:eastAsia="zh-CN" w:bidi="ar-SA"/>
    </w:rPr>
  </w:style>
  <w:style w:type="character" w:customStyle="1" w:styleId="87">
    <w:name w:val="批注框文本 字符"/>
    <w:link w:val="25"/>
    <w:autoRedefine/>
    <w:qFormat/>
    <w:uiPriority w:val="0"/>
    <w:rPr>
      <w:rFonts w:ascii="Times New Roman" w:hAnsi="Times New Roman" w:eastAsia="宋体" w:cs="Times New Roman"/>
      <w:kern w:val="2"/>
      <w:sz w:val="18"/>
      <w:szCs w:val="18"/>
      <w:lang w:val="en-US" w:eastAsia="zh-CN" w:bidi="ar-SA"/>
    </w:rPr>
  </w:style>
  <w:style w:type="character" w:customStyle="1" w:styleId="88">
    <w:name w:val="纯文本 Char"/>
    <w:autoRedefine/>
    <w:qFormat/>
    <w:uiPriority w:val="0"/>
    <w:rPr>
      <w:rFonts w:ascii="宋体" w:hAnsi="Times New Roman" w:eastAsia="宋体" w:cs="Times New Roman"/>
      <w:kern w:val="2"/>
      <w:sz w:val="21"/>
      <w:lang w:val="en-US" w:eastAsia="zh-CN" w:bidi="ar-SA"/>
    </w:rPr>
  </w:style>
  <w:style w:type="character" w:customStyle="1" w:styleId="89">
    <w:name w:val="纯文本 字符"/>
    <w:autoRedefine/>
    <w:qFormat/>
    <w:uiPriority w:val="0"/>
    <w:rPr>
      <w:rFonts w:ascii="宋体" w:hAnsi="Times New Roman" w:eastAsia="宋体" w:cs="Times New Roman"/>
      <w:kern w:val="2"/>
      <w:sz w:val="21"/>
      <w:lang w:val="en-US" w:eastAsia="zh-CN" w:bidi="ar-SA"/>
    </w:rPr>
  </w:style>
  <w:style w:type="character" w:customStyle="1" w:styleId="90">
    <w:name w:val="未处理的提及4"/>
    <w:autoRedefine/>
    <w:qFormat/>
    <w:uiPriority w:val="0"/>
    <w:rPr>
      <w:rFonts w:ascii="Times New Roman" w:hAnsi="Times New Roman" w:eastAsia="宋体" w:cs="Times New Roman"/>
      <w:color w:val="605E5C"/>
      <w:shd w:val="clear" w:color="auto" w:fill="E1DFDD"/>
      <w:lang w:val="en-US" w:eastAsia="zh-CN" w:bidi="ar-SA"/>
    </w:rPr>
  </w:style>
  <w:style w:type="character" w:customStyle="1" w:styleId="91">
    <w:name w:val="批注文字 字符"/>
    <w:link w:val="13"/>
    <w:autoRedefine/>
    <w:qFormat/>
    <w:uiPriority w:val="99"/>
    <w:rPr>
      <w:kern w:val="2"/>
      <w:sz w:val="21"/>
      <w:szCs w:val="24"/>
    </w:rPr>
  </w:style>
  <w:style w:type="paragraph" w:customStyle="1" w:styleId="92">
    <w:name w:val="正文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3">
    <w:name w:val="Char Char Char Char Char Char Char Char Char Char Char Char Char Char Char 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94">
    <w:name w:val="Char2"/>
    <w:basedOn w:val="1"/>
    <w:autoRedefine/>
    <w:qFormat/>
    <w:uiPriority w:val="0"/>
  </w:style>
  <w:style w:type="paragraph" w:customStyle="1" w:styleId="95">
    <w:name w:val="g3"/>
    <w:basedOn w:val="1"/>
    <w:autoRedefine/>
    <w:qFormat/>
    <w:uiPriority w:val="0"/>
    <w:pPr>
      <w:widowControl/>
      <w:spacing w:before="100" w:beforeAutospacing="1" w:after="100" w:afterAutospacing="1" w:line="675" w:lineRule="atLeast"/>
      <w:jc w:val="left"/>
    </w:pPr>
    <w:rPr>
      <w:rFonts w:ascii="华文中宋" w:hAnsi="华文中宋" w:eastAsia="华文中宋"/>
      <w:kern w:val="0"/>
      <w:sz w:val="42"/>
      <w:szCs w:val="42"/>
    </w:rPr>
  </w:style>
  <w:style w:type="paragraph" w:customStyle="1" w:styleId="96">
    <w:name w:val="正文_1"/>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97">
    <w:name w:val="样式2"/>
    <w:basedOn w:val="3"/>
    <w:autoRedefine/>
    <w:qFormat/>
    <w:uiPriority w:val="0"/>
    <w:pPr>
      <w:spacing w:line="440" w:lineRule="exact"/>
      <w:jc w:val="center"/>
    </w:pPr>
    <w:rPr>
      <w:rFonts w:ascii="宋体" w:hAnsi="宋体" w:eastAsia="宋体"/>
      <w:b w:val="0"/>
      <w:sz w:val="32"/>
    </w:rPr>
  </w:style>
  <w:style w:type="paragraph" w:customStyle="1" w:styleId="98">
    <w:name w:val="修订1"/>
    <w:autoRedefine/>
    <w:qFormat/>
    <w:uiPriority w:val="0"/>
    <w:rPr>
      <w:rFonts w:ascii="Times New Roman" w:hAnsi="Times New Roman" w:eastAsia="宋体" w:cs="Times New Roman"/>
      <w:kern w:val="2"/>
      <w:sz w:val="21"/>
      <w:szCs w:val="24"/>
      <w:lang w:val="en-US" w:eastAsia="zh-CN" w:bidi="ar-SA"/>
    </w:rPr>
  </w:style>
  <w:style w:type="paragraph" w:customStyle="1" w:styleId="99">
    <w:name w:val="列表段落1"/>
    <w:basedOn w:val="1"/>
    <w:autoRedefine/>
    <w:qFormat/>
    <w:uiPriority w:val="0"/>
    <w:pPr>
      <w:widowControl/>
      <w:ind w:firstLine="420" w:firstLineChars="200"/>
      <w:jc w:val="left"/>
    </w:pPr>
    <w:rPr>
      <w:rFonts w:ascii="Cambria" w:hAnsi="Cambria"/>
      <w:kern w:val="0"/>
      <w:sz w:val="24"/>
    </w:rPr>
  </w:style>
  <w:style w:type="paragraph" w:customStyle="1" w:styleId="100">
    <w:name w:val="样式1"/>
    <w:basedOn w:val="3"/>
    <w:autoRedefine/>
    <w:qFormat/>
    <w:uiPriority w:val="0"/>
    <w:rPr>
      <w:rFonts w:eastAsia="宋体"/>
    </w:rPr>
  </w:style>
  <w:style w:type="paragraph" w:customStyle="1" w:styleId="101">
    <w:name w:val="xl23"/>
    <w:basedOn w:val="1"/>
    <w:autoRedefine/>
    <w:qFormat/>
    <w:uiPriority w:val="0"/>
    <w:pPr>
      <w:widowControl/>
      <w:spacing w:before="100" w:beforeAutospacing="1" w:after="100" w:afterAutospacing="1"/>
      <w:jc w:val="center"/>
    </w:pPr>
    <w:rPr>
      <w:rFonts w:ascii="Arial Unicode MS" w:hAnsi="Arial Unicode MS" w:eastAsia="Arial Unicode MS"/>
      <w:kern w:val="0"/>
      <w:sz w:val="24"/>
      <w:szCs w:val="20"/>
    </w:rPr>
  </w:style>
  <w:style w:type="paragraph" w:customStyle="1" w:styleId="102">
    <w:name w:val="页眉或页脚"/>
    <w:basedOn w:val="1"/>
    <w:autoRedefine/>
    <w:qFormat/>
    <w:uiPriority w:val="0"/>
    <w:rPr>
      <w:rFonts w:eastAsia="Times New Roman"/>
      <w:sz w:val="18"/>
      <w:szCs w:val="18"/>
    </w:rPr>
  </w:style>
  <w:style w:type="paragraph" w:customStyle="1" w:styleId="103">
    <w:name w:val="Char Char2 Char"/>
    <w:basedOn w:val="1"/>
    <w:autoRedefine/>
    <w:qFormat/>
    <w:uiPriority w:val="0"/>
    <w:pPr>
      <w:keepNext/>
      <w:keepLines/>
      <w:pageBreakBefore/>
      <w:tabs>
        <w:tab w:val="left" w:pos="390"/>
      </w:tabs>
      <w:ind w:left="390" w:hanging="390"/>
    </w:pPr>
    <w:rPr>
      <w:rFonts w:ascii="Tahoma" w:hAnsi="Tahoma"/>
      <w:sz w:val="24"/>
      <w:szCs w:val="20"/>
    </w:rPr>
  </w:style>
  <w:style w:type="paragraph" w:customStyle="1" w:styleId="104">
    <w:name w:val="正文 A"/>
    <w:autoRedefine/>
    <w:qFormat/>
    <w:uiPriority w:val="0"/>
    <w:pPr>
      <w:widowControl w:val="0"/>
      <w:jc w:val="both"/>
    </w:pPr>
    <w:rPr>
      <w:rFonts w:hint="eastAsia" w:ascii="Arial Unicode MS" w:hAnsi="Arial Unicode MS" w:eastAsia="Times New Roman" w:cs="Arial Unicode MS"/>
      <w:color w:val="000000"/>
      <w:kern w:val="2"/>
      <w:sz w:val="21"/>
      <w:szCs w:val="21"/>
      <w:u w:color="000000"/>
      <w:lang w:val="en-US" w:eastAsia="zh-CN" w:bidi="ar-SA"/>
    </w:rPr>
  </w:style>
  <w:style w:type="paragraph" w:customStyle="1" w:styleId="105">
    <w:name w:val="正文文本1"/>
    <w:basedOn w:val="1"/>
    <w:autoRedefine/>
    <w:qFormat/>
    <w:uiPriority w:val="0"/>
    <w:pPr>
      <w:spacing w:line="480" w:lineRule="auto"/>
    </w:pPr>
    <w:rPr>
      <w:rFonts w:ascii="宋体" w:hAnsi="宋体" w:cs="宋体"/>
      <w:sz w:val="19"/>
      <w:szCs w:val="19"/>
    </w:rPr>
  </w:style>
  <w:style w:type="paragraph" w:customStyle="1" w:styleId="106">
    <w:name w:val="Char Char Char Char"/>
    <w:basedOn w:val="1"/>
    <w:autoRedefine/>
    <w:qFormat/>
    <w:uiPriority w:val="0"/>
    <w:pPr>
      <w:widowControl/>
      <w:spacing w:after="160" w:line="240" w:lineRule="exact"/>
      <w:jc w:val="left"/>
    </w:pPr>
    <w:rPr>
      <w:rFonts w:ascii="Verdana" w:hAnsi="Verdana"/>
      <w:kern w:val="0"/>
      <w:sz w:val="20"/>
      <w:szCs w:val="20"/>
      <w:lang w:eastAsia="en-US"/>
    </w:rPr>
  </w:style>
  <w:style w:type="paragraph" w:customStyle="1" w:styleId="107">
    <w:name w:val="Char1"/>
    <w:basedOn w:val="1"/>
    <w:autoRedefine/>
    <w:qFormat/>
    <w:uiPriority w:val="0"/>
    <w:pPr>
      <w:widowControl/>
      <w:spacing w:after="160" w:line="240" w:lineRule="exact"/>
      <w:jc w:val="left"/>
    </w:pPr>
  </w:style>
  <w:style w:type="paragraph" w:customStyle="1" w:styleId="108">
    <w:name w:val="Char Char1 Char Char Char Char Char Char Char Char Char Char Char Char Char Char"/>
    <w:basedOn w:val="1"/>
    <w:autoRedefine/>
    <w:qFormat/>
    <w:uiPriority w:val="0"/>
    <w:pPr>
      <w:widowControl/>
      <w:spacing w:after="160" w:line="240" w:lineRule="exact"/>
      <w:jc w:val="left"/>
    </w:pPr>
    <w:rPr>
      <w:rFonts w:ascii="Verdana" w:hAnsi="Verdana"/>
      <w:kern w:val="0"/>
      <w:sz w:val="20"/>
      <w:szCs w:val="20"/>
      <w:lang w:eastAsia="en-US"/>
    </w:rPr>
  </w:style>
  <w:style w:type="paragraph" w:customStyle="1" w:styleId="109">
    <w:name w:val="6'"/>
    <w:basedOn w:val="1"/>
    <w:autoRedefine/>
    <w:qFormat/>
    <w:uiPriority w:val="0"/>
    <w:pPr>
      <w:spacing w:line="320" w:lineRule="exact"/>
      <w:jc w:val="center"/>
    </w:pPr>
    <w:rPr>
      <w:color w:val="000000"/>
      <w:spacing w:val="20"/>
      <w:kern w:val="0"/>
      <w:szCs w:val="20"/>
    </w:rPr>
  </w:style>
  <w:style w:type="paragraph" w:customStyle="1" w:styleId="110">
    <w:name w:val="第四行"/>
    <w:basedOn w:val="1"/>
    <w:autoRedefine/>
    <w:qFormat/>
    <w:uiPriority w:val="0"/>
    <w:pPr>
      <w:tabs>
        <w:tab w:val="left" w:pos="1200"/>
      </w:tabs>
      <w:spacing w:line="360" w:lineRule="auto"/>
      <w:jc w:val="center"/>
    </w:pPr>
    <w:rPr>
      <w:rFonts w:ascii="宋体"/>
      <w:b/>
      <w:bCs/>
      <w:spacing w:val="40"/>
      <w:sz w:val="28"/>
      <w:szCs w:val="28"/>
    </w:rPr>
  </w:style>
  <w:style w:type="paragraph" w:customStyle="1" w:styleId="111">
    <w:name w:val="_正文段落"/>
    <w:basedOn w:val="1"/>
    <w:autoRedefine/>
    <w:qFormat/>
    <w:uiPriority w:val="0"/>
    <w:pPr>
      <w:spacing w:line="360" w:lineRule="auto"/>
    </w:pPr>
    <w:rPr>
      <w:rFonts w:eastAsia="仿宋_GB2312"/>
      <w:sz w:val="28"/>
    </w:rPr>
  </w:style>
  <w:style w:type="paragraph" w:customStyle="1" w:styleId="112">
    <w:name w:val="表格"/>
    <w:basedOn w:val="1"/>
    <w:autoRedefine/>
    <w:qFormat/>
    <w:uiPriority w:val="0"/>
    <w:pPr>
      <w:tabs>
        <w:tab w:val="left" w:pos="1200"/>
      </w:tabs>
      <w:spacing w:line="500" w:lineRule="exact"/>
      <w:jc w:val="center"/>
    </w:pPr>
    <w:rPr>
      <w:rFonts w:ascii="宋体"/>
      <w:sz w:val="24"/>
      <w:szCs w:val="18"/>
    </w:rPr>
  </w:style>
  <w:style w:type="paragraph" w:customStyle="1" w:styleId="113">
    <w:name w:val="Table Paragraph"/>
    <w:basedOn w:val="1"/>
    <w:autoRedefine/>
    <w:qFormat/>
    <w:uiPriority w:val="0"/>
    <w:pPr>
      <w:autoSpaceDE w:val="0"/>
      <w:autoSpaceDN w:val="0"/>
      <w:jc w:val="left"/>
    </w:pPr>
    <w:rPr>
      <w:rFonts w:ascii="宋体" w:hAnsi="宋体" w:cs="宋体"/>
      <w:kern w:val="0"/>
      <w:sz w:val="22"/>
      <w:szCs w:val="22"/>
      <w:lang w:eastAsia="en-US"/>
    </w:rPr>
  </w:style>
  <w:style w:type="paragraph" w:customStyle="1" w:styleId="114">
    <w:name w:val="正文 New New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5">
    <w:name w:val="项目书正文"/>
    <w:basedOn w:val="1"/>
    <w:autoRedefine/>
    <w:qFormat/>
    <w:uiPriority w:val="0"/>
    <w:pPr>
      <w:widowControl/>
      <w:spacing w:beforeLines="50" w:afterLines="50" w:line="420" w:lineRule="auto"/>
      <w:ind w:firstLine="200" w:firstLineChars="200"/>
      <w:jc w:val="left"/>
    </w:pPr>
    <w:rPr>
      <w:rFonts w:ascii="Calibri" w:hAnsi="Calibri" w:cs="宋体"/>
      <w:kern w:val="0"/>
      <w:sz w:val="24"/>
      <w:szCs w:val="20"/>
    </w:rPr>
  </w:style>
  <w:style w:type="paragraph" w:customStyle="1" w:styleId="116">
    <w:name w:val="样式3"/>
    <w:basedOn w:val="4"/>
    <w:autoRedefine/>
    <w:qFormat/>
    <w:uiPriority w:val="0"/>
    <w:pPr>
      <w:ind w:left="101" w:hanging="101" w:hangingChars="101"/>
      <w:jc w:val="left"/>
    </w:pPr>
    <w:rPr>
      <w:rFonts w:eastAsia="宋体"/>
      <w:b w:val="0"/>
      <w:bCs/>
      <w:sz w:val="24"/>
      <w:szCs w:val="24"/>
    </w:rPr>
  </w:style>
  <w:style w:type="paragraph" w:customStyle="1" w:styleId="117">
    <w:name w:val="默认"/>
    <w:autoRedefine/>
    <w:qFormat/>
    <w:uiPriority w:val="0"/>
    <w:pPr>
      <w:spacing w:before="160" w:line="288" w:lineRule="auto"/>
    </w:pPr>
    <w:rPr>
      <w:rFonts w:hint="eastAsia" w:ascii="Arial Unicode MS" w:hAnsi="Arial Unicode MS" w:eastAsia="Arial Unicode MS" w:cs="Arial Unicode MS"/>
      <w:color w:val="000000"/>
      <w:sz w:val="24"/>
      <w:szCs w:val="24"/>
      <w:lang w:val="zh-CN" w:eastAsia="zh-CN" w:bidi="ar-SA"/>
    </w:rPr>
  </w:style>
  <w:style w:type="paragraph" w:customStyle="1" w:styleId="118">
    <w:name w:val="Content"/>
    <w:basedOn w:val="15"/>
    <w:autoRedefine/>
    <w:qFormat/>
    <w:uiPriority w:val="0"/>
    <w:pPr>
      <w:spacing w:line="360" w:lineRule="auto"/>
      <w:ind w:firstLine="480"/>
    </w:pPr>
    <w:rPr>
      <w:rFonts w:ascii="Times New Roman" w:hAnsi="Times New Roman" w:eastAsia="全真簡粗明"/>
      <w:b w:val="0"/>
      <w:snapToGrid w:val="0"/>
      <w:spacing w:val="0"/>
      <w:kern w:val="0"/>
      <w:sz w:val="24"/>
      <w:lang w:eastAsia="zh-TW"/>
    </w:rPr>
  </w:style>
  <w:style w:type="paragraph" w:customStyle="1" w:styleId="119">
    <w:name w:val="正文 New New New New New New New New New New New New New New New New New New New New New New New New New New New New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0">
    <w:name w:val="纯文本 New New"/>
    <w:basedOn w:val="1"/>
    <w:next w:val="1"/>
    <w:autoRedefine/>
    <w:qFormat/>
    <w:uiPriority w:val="0"/>
    <w:pPr>
      <w:autoSpaceDE w:val="0"/>
      <w:autoSpaceDN w:val="0"/>
      <w:adjustRightInd w:val="0"/>
      <w:jc w:val="left"/>
    </w:pPr>
    <w:rPr>
      <w:rFonts w:ascii="宋体"/>
    </w:rPr>
  </w:style>
  <w:style w:type="paragraph" w:customStyle="1" w:styleId="121">
    <w:name w:val="Char Char Char"/>
    <w:basedOn w:val="1"/>
    <w:autoRedefine/>
    <w:qFormat/>
    <w:uiPriority w:val="0"/>
    <w:pPr>
      <w:ind w:firstLine="200" w:firstLineChars="200"/>
    </w:pPr>
    <w:rPr>
      <w:sz w:val="24"/>
    </w:rPr>
  </w:style>
  <w:style w:type="paragraph" w:customStyle="1" w:styleId="122">
    <w:name w:val="正文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3">
    <w:name w:val="样式 首行缩进:  2 字符"/>
    <w:basedOn w:val="1"/>
    <w:autoRedefine/>
    <w:qFormat/>
    <w:uiPriority w:val="0"/>
    <w:pPr>
      <w:spacing w:line="400" w:lineRule="exact"/>
      <w:ind w:firstLine="200" w:firstLineChars="200"/>
    </w:pPr>
    <w:rPr>
      <w:rFonts w:cs="宋体"/>
      <w:sz w:val="24"/>
    </w:rPr>
  </w:style>
  <w:style w:type="paragraph" w:customStyle="1" w:styleId="124">
    <w:name w:val="其他"/>
    <w:basedOn w:val="1"/>
    <w:autoRedefine/>
    <w:qFormat/>
    <w:uiPriority w:val="0"/>
    <w:pPr>
      <w:spacing w:line="446" w:lineRule="auto"/>
      <w:ind w:firstLine="400"/>
    </w:pPr>
    <w:rPr>
      <w:rFonts w:ascii="宋体" w:hAnsi="宋体" w:cs="宋体"/>
      <w:sz w:val="19"/>
      <w:szCs w:val="19"/>
    </w:rPr>
  </w:style>
  <w:style w:type="paragraph" w:customStyle="1" w:styleId="125">
    <w:name w:val="纯文本 New New New New"/>
    <w:basedOn w:val="1"/>
    <w:next w:val="1"/>
    <w:autoRedefine/>
    <w:qFormat/>
    <w:uiPriority w:val="0"/>
    <w:pPr>
      <w:autoSpaceDE w:val="0"/>
      <w:autoSpaceDN w:val="0"/>
      <w:adjustRightInd w:val="0"/>
      <w:jc w:val="left"/>
    </w:pPr>
    <w:rPr>
      <w:rFonts w:ascii="宋体"/>
    </w:rPr>
  </w:style>
  <w:style w:type="paragraph" w:customStyle="1" w:styleId="126">
    <w:name w:val="Normal_0"/>
    <w:autoRedefine/>
    <w:qFormat/>
    <w:uiPriority w:val="0"/>
    <w:pPr>
      <w:widowControl w:val="0"/>
      <w:jc w:val="both"/>
    </w:pPr>
    <w:rPr>
      <w:rFonts w:ascii="Calibri" w:hAnsi="Calibri" w:eastAsia="宋体" w:cs="Times New Roman"/>
      <w:lang w:val="en-US" w:eastAsia="zh-CN" w:bidi="ar-SA"/>
    </w:rPr>
  </w:style>
  <w:style w:type="paragraph" w:customStyle="1" w:styleId="127">
    <w:name w:val="Char"/>
    <w:basedOn w:val="1"/>
    <w:autoRedefine/>
    <w:qFormat/>
    <w:uiPriority w:val="0"/>
  </w:style>
  <w:style w:type="paragraph" w:customStyle="1" w:styleId="128">
    <w:name w:val="正文 New New New New New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9">
    <w:name w:val="para"/>
    <w:basedOn w:val="1"/>
    <w:autoRedefine/>
    <w:qFormat/>
    <w:uiPriority w:val="0"/>
    <w:pPr>
      <w:widowControl/>
      <w:adjustRightInd w:val="0"/>
      <w:spacing w:before="160" w:line="360" w:lineRule="auto"/>
      <w:ind w:firstLine="425"/>
      <w:textAlignment w:val="baseline"/>
    </w:pPr>
    <w:rPr>
      <w:kern w:val="0"/>
      <w:sz w:val="24"/>
      <w:szCs w:val="20"/>
      <w:lang w:eastAsia="en-US"/>
    </w:rPr>
  </w:style>
  <w:style w:type="paragraph" w:customStyle="1" w:styleId="130">
    <w:name w:val="纯文本 New New New"/>
    <w:basedOn w:val="1"/>
    <w:next w:val="1"/>
    <w:autoRedefine/>
    <w:qFormat/>
    <w:uiPriority w:val="0"/>
    <w:pPr>
      <w:autoSpaceDE w:val="0"/>
      <w:autoSpaceDN w:val="0"/>
      <w:adjustRightInd w:val="0"/>
      <w:jc w:val="left"/>
    </w:pPr>
    <w:rPr>
      <w:rFonts w:ascii="宋体"/>
    </w:rPr>
  </w:style>
  <w:style w:type="paragraph" w:customStyle="1" w:styleId="131">
    <w:name w:val="p0"/>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32">
    <w:name w:val="段落"/>
    <w:autoRedefine/>
    <w:qFormat/>
    <w:uiPriority w:val="0"/>
    <w:pPr>
      <w:adjustRightInd w:val="0"/>
      <w:snapToGrid w:val="0"/>
      <w:spacing w:before="120" w:after="120" w:line="360" w:lineRule="auto"/>
      <w:ind w:firstLine="560" w:firstLineChars="200"/>
      <w:jc w:val="both"/>
    </w:pPr>
    <w:rPr>
      <w:rFonts w:ascii="Times New Roman" w:hAnsi="Times New Roman" w:eastAsia="仿宋_GB2312" w:cs="Times New Roman"/>
      <w:kern w:val="2"/>
      <w:sz w:val="28"/>
      <w:szCs w:val="24"/>
      <w:lang w:val="en-US" w:eastAsia="zh-CN" w:bidi="ar-SA"/>
    </w:rPr>
  </w:style>
  <w:style w:type="table" w:customStyle="1" w:styleId="133">
    <w:name w:val="Table Normal"/>
    <w:autoRedefine/>
    <w:semiHidden/>
    <w:unhideWhenUsed/>
    <w:qFormat/>
    <w:uiPriority w:val="0"/>
    <w:tblPr>
      <w:tblCellMar>
        <w:top w:w="0" w:type="dxa"/>
        <w:left w:w="0" w:type="dxa"/>
        <w:bottom w:w="0" w:type="dxa"/>
        <w:right w:w="0" w:type="dxa"/>
      </w:tblCellMar>
    </w:tblPr>
  </w:style>
  <w:style w:type="paragraph" w:customStyle="1" w:styleId="134">
    <w:name w:val="BodyText"/>
    <w:basedOn w:val="1"/>
    <w:autoRedefine/>
    <w:qFormat/>
    <w:uiPriority w:val="0"/>
    <w:pPr>
      <w:spacing w:after="120"/>
    </w:pPr>
  </w:style>
  <w:style w:type="character" w:customStyle="1" w:styleId="135">
    <w:name w:val="标题 1 字符"/>
    <w:link w:val="2"/>
    <w:autoRedefine/>
    <w:qFormat/>
    <w:uiPriority w:val="0"/>
    <w:rPr>
      <w:rFonts w:ascii="Times New Roman" w:hAnsi="Times New Roman" w:eastAsia="黑体" w:cs="Times New Roman"/>
      <w:b/>
      <w:kern w:val="44"/>
      <w:sz w:val="28"/>
      <w:szCs w:val="20"/>
      <w:lang w:val="en-US" w:eastAsia="zh-CN" w:bidi="ar-SA"/>
    </w:rPr>
  </w:style>
  <w:style w:type="character" w:customStyle="1" w:styleId="136">
    <w:name w:val="标题 2 字符2"/>
    <w:link w:val="3"/>
    <w:autoRedefine/>
    <w:qFormat/>
    <w:uiPriority w:val="0"/>
    <w:rPr>
      <w:rFonts w:ascii="Arial" w:hAnsi="Arial" w:eastAsia="黑体" w:cs="Times New Roman"/>
      <w:b/>
      <w:bCs/>
      <w:sz w:val="32"/>
      <w:szCs w:val="32"/>
    </w:rPr>
  </w:style>
  <w:style w:type="character" w:customStyle="1" w:styleId="137">
    <w:name w:val="font51"/>
    <w:basedOn w:val="45"/>
    <w:autoRedefine/>
    <w:qFormat/>
    <w:uiPriority w:val="0"/>
    <w:rPr>
      <w:rFonts w:hint="eastAsia" w:ascii="宋体" w:hAnsi="宋体" w:eastAsia="宋体" w:cs="宋体"/>
      <w:color w:val="000000"/>
      <w:sz w:val="22"/>
      <w:szCs w:val="22"/>
      <w:u w:val="none"/>
    </w:rPr>
  </w:style>
  <w:style w:type="character" w:customStyle="1" w:styleId="138">
    <w:name w:val="font71"/>
    <w:basedOn w:val="45"/>
    <w:autoRedefine/>
    <w:qFormat/>
    <w:uiPriority w:val="0"/>
    <w:rPr>
      <w:rFonts w:hint="default" w:ascii="Times New Roman" w:hAnsi="Times New Roman" w:cs="Times New Roman"/>
      <w:color w:val="000000"/>
      <w:sz w:val="22"/>
      <w:szCs w:val="22"/>
      <w:u w:val="none"/>
    </w:rPr>
  </w:style>
  <w:style w:type="character" w:customStyle="1" w:styleId="139">
    <w:name w:val="font81"/>
    <w:basedOn w:val="45"/>
    <w:autoRedefine/>
    <w:qFormat/>
    <w:uiPriority w:val="0"/>
    <w:rPr>
      <w:rFonts w:ascii="Calibri" w:hAnsi="Calibri" w:cs="Calibri"/>
      <w:color w:val="000000"/>
      <w:sz w:val="22"/>
      <w:szCs w:val="22"/>
      <w:u w:val="none"/>
    </w:rPr>
  </w:style>
  <w:style w:type="character" w:customStyle="1" w:styleId="140">
    <w:name w:val="font31"/>
    <w:basedOn w:val="45"/>
    <w:autoRedefine/>
    <w:qFormat/>
    <w:uiPriority w:val="0"/>
    <w:rPr>
      <w:rFonts w:hint="eastAsia" w:ascii="宋体" w:hAnsi="宋体" w:eastAsia="宋体" w:cs="宋体"/>
      <w:color w:val="000000"/>
      <w:sz w:val="18"/>
      <w:szCs w:val="18"/>
      <w:u w:val="none"/>
    </w:rPr>
  </w:style>
  <w:style w:type="character" w:customStyle="1" w:styleId="141">
    <w:name w:val="font61"/>
    <w:basedOn w:val="45"/>
    <w:autoRedefine/>
    <w:qFormat/>
    <w:uiPriority w:val="0"/>
    <w:rPr>
      <w:rFonts w:hint="default" w:ascii="Times New Roman" w:hAnsi="Times New Roman" w:cs="Times New Roman"/>
      <w:color w:val="000000"/>
      <w:sz w:val="18"/>
      <w:szCs w:val="18"/>
      <w:u w:val="none"/>
    </w:rPr>
  </w:style>
  <w:style w:type="character" w:customStyle="1" w:styleId="142">
    <w:name w:val="font41"/>
    <w:basedOn w:val="45"/>
    <w:autoRedefine/>
    <w:qFormat/>
    <w:uiPriority w:val="0"/>
    <w:rPr>
      <w:rFonts w:hint="eastAsia" w:ascii="宋体" w:hAnsi="宋体" w:eastAsia="宋体" w:cs="宋体"/>
      <w:color w:val="000000"/>
      <w:sz w:val="22"/>
      <w:szCs w:val="22"/>
      <w:u w:val="none"/>
    </w:rPr>
  </w:style>
  <w:style w:type="character" w:customStyle="1" w:styleId="143">
    <w:name w:val="font11"/>
    <w:basedOn w:val="45"/>
    <w:autoRedefine/>
    <w:qFormat/>
    <w:uiPriority w:val="0"/>
    <w:rPr>
      <w:rFonts w:hint="eastAsia" w:ascii="宋体" w:hAnsi="宋体" w:eastAsia="宋体" w:cs="宋体"/>
      <w:color w:val="000000"/>
      <w:sz w:val="22"/>
      <w:szCs w:val="22"/>
      <w:u w:val="none"/>
    </w:rPr>
  </w:style>
  <w:style w:type="character" w:customStyle="1" w:styleId="144">
    <w:name w:val="font91"/>
    <w:basedOn w:val="45"/>
    <w:autoRedefine/>
    <w:qFormat/>
    <w:uiPriority w:val="0"/>
    <w:rPr>
      <w:rFonts w:hint="eastAsia" w:ascii="宋体" w:hAnsi="宋体" w:eastAsia="宋体" w:cs="宋体"/>
      <w:color w:val="FF0000"/>
      <w:sz w:val="18"/>
      <w:szCs w:val="18"/>
      <w:u w:val="none"/>
    </w:rPr>
  </w:style>
  <w:style w:type="character" w:customStyle="1" w:styleId="145">
    <w:name w:val="font101"/>
    <w:basedOn w:val="45"/>
    <w:autoRedefine/>
    <w:qFormat/>
    <w:uiPriority w:val="0"/>
    <w:rPr>
      <w:rFonts w:hint="default" w:ascii="Times New Roman" w:hAnsi="Times New Roman" w:cs="Times New Roman"/>
      <w:color w:val="FF0000"/>
      <w:sz w:val="18"/>
      <w:szCs w:val="18"/>
      <w:u w:val="none"/>
    </w:rPr>
  </w:style>
  <w:style w:type="character" w:customStyle="1" w:styleId="146">
    <w:name w:val="font112"/>
    <w:basedOn w:val="45"/>
    <w:autoRedefine/>
    <w:qFormat/>
    <w:uiPriority w:val="0"/>
    <w:rPr>
      <w:rFonts w:hint="eastAsia" w:ascii="宋体" w:hAnsi="宋体" w:eastAsia="宋体" w:cs="宋体"/>
      <w:color w:val="FF0000"/>
      <w:sz w:val="18"/>
      <w:szCs w:val="18"/>
      <w:u w:val="none"/>
    </w:rPr>
  </w:style>
  <w:style w:type="character" w:customStyle="1" w:styleId="147">
    <w:name w:val="font121"/>
    <w:basedOn w:val="45"/>
    <w:autoRedefine/>
    <w:qFormat/>
    <w:uiPriority w:val="0"/>
    <w:rPr>
      <w:rFonts w:hint="default" w:ascii="Times New Roman" w:hAnsi="Times New Roman" w:cs="Times New Roman"/>
      <w:color w:val="FF0000"/>
      <w:sz w:val="18"/>
      <w:szCs w:val="18"/>
      <w:u w:val="none"/>
    </w:rPr>
  </w:style>
  <w:style w:type="paragraph" w:customStyle="1" w:styleId="148">
    <w:name w:val="PlainText"/>
    <w:basedOn w:val="1"/>
    <w:qFormat/>
    <w:uiPriority w:val="0"/>
    <w:rPr>
      <w:rFonts w:ascii="宋体" w:hAnsi="Courier New"/>
    </w:rPr>
  </w:style>
  <w:style w:type="paragraph" w:customStyle="1" w:styleId="149">
    <w:name w:val="无间隔1"/>
    <w:next w:val="1"/>
    <w:qFormat/>
    <w:uiPriority w:val="1"/>
    <w:pPr>
      <w:adjustRightInd w:val="0"/>
      <w:snapToGrid w:val="0"/>
    </w:pPr>
    <w:rPr>
      <w:rFonts w:ascii="Tahoma" w:hAnsi="Tahoma" w:eastAsia="微软雅黑" w:cstheme="minorBidi"/>
      <w:sz w:val="22"/>
      <w:szCs w:val="22"/>
      <w:lang w:val="en-US" w:eastAsia="zh-CN" w:bidi="ar-SA"/>
    </w:rPr>
  </w:style>
  <w:style w:type="paragraph" w:customStyle="1" w:styleId="150">
    <w:name w:val="_Style 3"/>
    <w:basedOn w:val="1"/>
    <w:next w:val="32"/>
    <w:qFormat/>
    <w:uiPriority w:val="34"/>
    <w:pPr>
      <w:ind w:firstLine="420" w:firstLineChars="200"/>
    </w:pPr>
    <w:rPr>
      <w:rFonts w:ascii="等线" w:hAnsi="等线" w:eastAsia="等线"/>
    </w:rPr>
  </w:style>
  <w:style w:type="paragraph" w:customStyle="1" w:styleId="151">
    <w:name w:val="石墨文档正文"/>
    <w:qFormat/>
    <w:uiPriority w:val="0"/>
    <w:rPr>
      <w:rFonts w:ascii="Arial Unicode MS" w:hAnsi="Arial Unicode MS" w:eastAsia="MicrosoftYaHei" w:cs="Arial Unicode MS"/>
      <w:sz w:val="22"/>
      <w:szCs w:val="22"/>
    </w:rPr>
  </w:style>
  <w:style w:type="paragraph" w:customStyle="1" w:styleId="152">
    <w:name w:val="null3"/>
    <w:basedOn w:val="1"/>
    <w:qFormat/>
    <w:uiPriority w:val="0"/>
    <w:rPr>
      <w:rFonts w:hint="eastAsia" w:ascii="Calibri" w:hAnsi="Calibri"/>
      <w:sz w:val="24"/>
      <w:szCs w:val="24"/>
    </w:rPr>
  </w:style>
  <w:style w:type="paragraph" w:customStyle="1" w:styleId="153">
    <w:name w:val="Normal Indent1"/>
    <w:basedOn w:val="122"/>
    <w:qFormat/>
    <w:uiPriority w:val="99"/>
    <w:pPr>
      <w:ind w:firstLine="420" w:firstLineChars="200"/>
    </w:pPr>
    <w:rPr>
      <w:rFonts w:cs="Times New Roman"/>
    </w:rPr>
  </w:style>
  <w:style w:type="paragraph" w:customStyle="1" w:styleId="154">
    <w:name w:val="table of figures1"/>
    <w:basedOn w:val="155"/>
    <w:next w:val="157"/>
    <w:qFormat/>
    <w:uiPriority w:val="0"/>
    <w:pPr>
      <w:ind w:left="200" w:leftChars="200" w:hanging="200" w:hangingChars="200"/>
    </w:pPr>
  </w:style>
  <w:style w:type="paragraph" w:customStyle="1" w:styleId="155">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
    <w:next w:val="156"/>
    <w:qFormat/>
    <w:uiPriority w:val="0"/>
    <w:rPr>
      <w:rFonts w:ascii="Calibri" w:hAnsi="Calibri" w:cs="宋体"/>
    </w:rPr>
  </w:style>
  <w:style w:type="paragraph" w:customStyle="1" w:styleId="156">
    <w:name w:val="图表目录1"/>
    <w:basedOn w:val="155"/>
    <w:next w:val="155"/>
    <w:qFormat/>
    <w:uiPriority w:val="0"/>
    <w:pPr>
      <w:spacing w:line="480" w:lineRule="exact"/>
      <w:ind w:left="200" w:leftChars="200" w:hanging="200" w:hangingChars="200"/>
    </w:pPr>
    <w:rPr>
      <w:color w:val="7030A0"/>
      <w:sz w:val="24"/>
    </w:rPr>
  </w:style>
  <w:style w:type="paragraph" w:customStyle="1" w:styleId="157">
    <w:name w:val="正文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w:next w:val="154"/>
    <w:qFormat/>
    <w:uiPriority w:val="0"/>
    <w:pPr>
      <w:widowControl w:val="0"/>
      <w:jc w:val="both"/>
    </w:pPr>
    <w:rPr>
      <w:rFonts w:ascii="Times New Roman" w:hAnsi="Times New Roman" w:eastAsia="宋体" w:cs="黑体"/>
      <w:kern w:val="2"/>
      <w:sz w:val="21"/>
      <w:szCs w:val="24"/>
      <w:lang w:val="en-US" w:eastAsia="zh-CN" w:bidi="ar-SA"/>
    </w:rPr>
  </w:style>
  <w:style w:type="paragraph" w:customStyle="1" w:styleId="158">
    <w:name w:val="Heading 1 Style"/>
    <w:qFormat/>
    <w:uiPriority w:val="0"/>
    <w:pPr>
      <w:spacing w:before="360" w:after="240" w:line="276" w:lineRule="auto"/>
      <w:ind w:firstLine="0"/>
    </w:pPr>
    <w:rPr>
      <w:rFonts w:ascii="黑体" w:hAnsi="黑体" w:eastAsia="黑体" w:cs="Times New Roman"/>
      <w:b/>
      <w:sz w:val="28"/>
      <w:szCs w:val="22"/>
      <w:lang w:val="en-US" w:eastAsia="en-US" w:bidi="ar-SA"/>
    </w:rPr>
  </w:style>
  <w:style w:type="paragraph" w:customStyle="1" w:styleId="159">
    <w:name w:val="Heading 2 Style"/>
    <w:qFormat/>
    <w:uiPriority w:val="0"/>
    <w:pPr>
      <w:spacing w:before="240" w:after="120" w:line="276" w:lineRule="auto"/>
      <w:ind w:firstLine="0"/>
    </w:pPr>
    <w:rPr>
      <w:rFonts w:ascii="黑体" w:hAnsi="黑体" w:eastAsia="黑体" w:cs="Times New Roman"/>
      <w:b/>
      <w:sz w:val="26"/>
      <w:szCs w:val="22"/>
      <w:lang w:val="en-US" w:eastAsia="en-US" w:bidi="ar-SA"/>
    </w:rPr>
  </w:style>
  <w:style w:type="paragraph" w:customStyle="1" w:styleId="160">
    <w:name w:val="Clause Style"/>
    <w:qFormat/>
    <w:uiPriority w:val="0"/>
    <w:pPr>
      <w:spacing w:after="120" w:line="360" w:lineRule="auto"/>
      <w:ind w:firstLine="0"/>
    </w:pPr>
    <w:rPr>
      <w:rFonts w:ascii="宋体" w:hAnsi="宋体" w:eastAsia="宋体" w:cs="Times New Roman"/>
      <w:sz w:val="24"/>
      <w:szCs w:val="22"/>
      <w:lang w:val="en-US" w:eastAsia="en-US" w:bidi="ar-SA"/>
    </w:rPr>
  </w:style>
  <w:style w:type="paragraph" w:customStyle="1" w:styleId="161">
    <w:name w:val="正文（缩进）"/>
    <w:basedOn w:val="1"/>
    <w:autoRedefine/>
    <w:qFormat/>
    <w:uiPriority w:val="0"/>
    <w:pPr>
      <w:spacing w:before="156" w:after="156"/>
      <w:ind w:firstLine="480"/>
    </w:pPr>
    <w:rPr>
      <w:rFonts w:ascii="Calibri" w:hAnsi="Calibri" w:eastAsia="微软雅黑"/>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83</Pages>
  <Words>27285</Words>
  <Characters>29142</Characters>
  <Lines>2322</Lines>
  <Paragraphs>1699</Paragraphs>
  <TotalTime>2</TotalTime>
  <ScaleCrop>false</ScaleCrop>
  <LinksUpToDate>false</LinksUpToDate>
  <CharactersWithSpaces>29736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2025-04-18T02:35:00Z</dcterms:created>
  <dc:creator>kaka</dc:creator>
  <cp:lastModifiedBy>勤劳的小蜜蜂</cp:lastModifiedBy>
  <cp:lastPrinted>2025-05-02T05:39:00Z</cp:lastPrinted>
  <dcterms:modified xsi:type="dcterms:W3CDTF">2026-05-07T14:50:17Z</dcterms:modified>
  <dc:title>附件1</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33DBD329709F4E0D92AB5C8E3A07B3E3_13</vt:lpwstr>
  </property>
  <property fmtid="{D5CDD505-2E9C-101B-9397-08002B2CF9AE}" pid="3" name="KSOProductBuildVer">
    <vt:lpwstr>2052-12.1.0.25865</vt:lpwstr>
  </property>
  <property fmtid="{D5CDD505-2E9C-101B-9397-08002B2CF9AE}" pid="4" name="KSOTemplateDocerSaveRecord">
    <vt:lpwstr>eyJoZGlkIjoiYzYyYWUzMDAwYmU5MmE5NzgyYTQyNmZjZGYxZDg4YWUiLCJ1c2VySWQiOiIzNTMxMjc0NTQifQ==</vt:lpwstr>
  </property>
</Properties>
</file>